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BB267" w14:textId="77777777" w:rsidR="00506435" w:rsidRDefault="00000000">
      <w:pPr>
        <w:widowControl w:val="0"/>
        <w:numPr>
          <w:ilvl w:val="0"/>
          <w:numId w:val="1"/>
        </w:num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PJSC “Higher Educational Institution </w:t>
      </w:r>
    </w:p>
    <w:p w14:paraId="3CB80611" w14:textId="77777777" w:rsidR="00506435" w:rsidRDefault="00000000">
      <w:pPr>
        <w:widowControl w:val="0"/>
        <w:numPr>
          <w:ilvl w:val="0"/>
          <w:numId w:val="1"/>
        </w:num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“INTERREGIONAL ACADEMY OF PERSONNEL MANAGEMENT”</w:t>
      </w:r>
    </w:p>
    <w:p w14:paraId="7ACD7C56" w14:textId="77777777" w:rsidR="00506435" w:rsidRDefault="00506435">
      <w:pPr>
        <w:widowControl w:val="0"/>
        <w:numPr>
          <w:ilvl w:val="0"/>
          <w:numId w:val="1"/>
        </w:numPr>
        <w:spacing w:line="240" w:lineRule="auto"/>
        <w:rPr>
          <w:rFonts w:ascii="Times New Roman" w:eastAsia="Times New Roman" w:hAnsi="Times New Roman" w:cs="Times New Roman"/>
          <w:sz w:val="28"/>
          <w:szCs w:val="28"/>
        </w:rPr>
      </w:pPr>
    </w:p>
    <w:p w14:paraId="3827D7FE" w14:textId="77777777" w:rsidR="00506435" w:rsidRDefault="00506435">
      <w:pPr>
        <w:widowControl w:val="0"/>
        <w:spacing w:line="240" w:lineRule="auto"/>
        <w:rPr>
          <w:rFonts w:ascii="Times New Roman" w:eastAsia="Times New Roman" w:hAnsi="Times New Roman" w:cs="Times New Roman"/>
          <w:sz w:val="28"/>
          <w:szCs w:val="28"/>
        </w:rPr>
      </w:pPr>
    </w:p>
    <w:p w14:paraId="6B9602B6"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236CF5B3" wp14:editId="261A9538">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6"/>
                    <a:srcRect/>
                    <a:stretch>
                      <a:fillRect/>
                    </a:stretch>
                  </pic:blipFill>
                  <pic:spPr>
                    <a:xfrm>
                      <a:off x="0" y="0"/>
                      <a:ext cx="688975" cy="815975"/>
                    </a:xfrm>
                    <a:prstGeom prst="rect">
                      <a:avLst/>
                    </a:prstGeom>
                    <a:ln/>
                  </pic:spPr>
                </pic:pic>
              </a:graphicData>
            </a:graphic>
          </wp:inline>
        </w:drawing>
      </w:r>
    </w:p>
    <w:p w14:paraId="74F2FF58" w14:textId="77777777" w:rsidR="00506435" w:rsidRDefault="00506435">
      <w:pPr>
        <w:widowControl w:val="0"/>
        <w:spacing w:line="240" w:lineRule="auto"/>
        <w:rPr>
          <w:rFonts w:ascii="Times New Roman" w:eastAsia="Times New Roman" w:hAnsi="Times New Roman" w:cs="Times New Roman"/>
          <w:sz w:val="28"/>
          <w:szCs w:val="28"/>
        </w:rPr>
      </w:pPr>
    </w:p>
    <w:p w14:paraId="293ABD4B" w14:textId="77777777" w:rsidR="00506435" w:rsidRDefault="00506435">
      <w:pPr>
        <w:widowControl w:val="0"/>
        <w:spacing w:line="240" w:lineRule="auto"/>
        <w:rPr>
          <w:rFonts w:ascii="Times New Roman" w:eastAsia="Times New Roman" w:hAnsi="Times New Roman" w:cs="Times New Roman"/>
          <w:sz w:val="28"/>
          <w:szCs w:val="28"/>
        </w:rPr>
      </w:pPr>
    </w:p>
    <w:p w14:paraId="4D7CB67E" w14:textId="77777777" w:rsidR="00506435" w:rsidRDefault="00506435">
      <w:pPr>
        <w:widowControl w:val="0"/>
        <w:spacing w:line="240" w:lineRule="auto"/>
        <w:rPr>
          <w:rFonts w:ascii="Times New Roman" w:eastAsia="Times New Roman" w:hAnsi="Times New Roman" w:cs="Times New Roman"/>
          <w:sz w:val="28"/>
          <w:szCs w:val="28"/>
        </w:rPr>
      </w:pPr>
    </w:p>
    <w:p w14:paraId="4471EE38" w14:textId="77777777" w:rsidR="00506435" w:rsidRDefault="00506435">
      <w:pPr>
        <w:widowControl w:val="0"/>
        <w:spacing w:line="240" w:lineRule="auto"/>
        <w:rPr>
          <w:rFonts w:ascii="Times New Roman" w:eastAsia="Times New Roman" w:hAnsi="Times New Roman" w:cs="Times New Roman"/>
          <w:sz w:val="28"/>
          <w:szCs w:val="28"/>
        </w:rPr>
      </w:pPr>
    </w:p>
    <w:p w14:paraId="61CCAA24" w14:textId="77777777" w:rsidR="00506435" w:rsidRDefault="00000000">
      <w:pPr>
        <w:pStyle w:val="2"/>
        <w:keepNext w:val="0"/>
        <w:widowControl w:val="0"/>
        <w:numPr>
          <w:ilvl w:val="0"/>
          <w:numId w:val="1"/>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03A81214" w14:textId="77777777" w:rsidR="00506435"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i/>
          <w:iCs/>
          <w:sz w:val="28"/>
          <w:szCs w:val="28"/>
        </w:rPr>
        <w:t>of the academic discipline</w:t>
      </w:r>
    </w:p>
    <w:p w14:paraId="61CA4B6D" w14:textId="77777777" w:rsidR="00506435" w:rsidRDefault="00506435">
      <w:pPr>
        <w:pStyle w:val="2"/>
        <w:keepNext w:val="0"/>
        <w:widowControl w:val="0"/>
        <w:numPr>
          <w:ilvl w:val="0"/>
          <w:numId w:val="1"/>
        </w:numPr>
        <w:spacing w:before="0" w:after="0"/>
        <w:jc w:val="center"/>
        <w:rPr>
          <w:rFonts w:ascii="Times New Roman" w:eastAsia="Times New Roman" w:hAnsi="Times New Roman" w:cs="Times New Roman"/>
          <w:i w:val="0"/>
          <w:iCs w:val="0"/>
        </w:rPr>
      </w:pPr>
    </w:p>
    <w:p w14:paraId="28BC7D59" w14:textId="77777777" w:rsidR="00506435"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MODERN UKRAINIAN LANGUAGE</w:t>
      </w:r>
    </w:p>
    <w:p w14:paraId="6221969F" w14:textId="77777777" w:rsidR="00506435" w:rsidRDefault="00506435">
      <w:pPr>
        <w:widowControl w:val="0"/>
        <w:spacing w:line="240" w:lineRule="auto"/>
        <w:rPr>
          <w:rFonts w:ascii="Times New Roman" w:eastAsia="Times New Roman" w:hAnsi="Times New Roman" w:cs="Times New Roman"/>
          <w:sz w:val="28"/>
          <w:szCs w:val="28"/>
        </w:rPr>
      </w:pPr>
    </w:p>
    <w:p w14:paraId="3D9C430E" w14:textId="77777777" w:rsidR="00506435" w:rsidRDefault="00506435">
      <w:pPr>
        <w:widowControl w:val="0"/>
        <w:spacing w:line="240" w:lineRule="auto"/>
        <w:rPr>
          <w:rFonts w:ascii="Times New Roman" w:eastAsia="Times New Roman" w:hAnsi="Times New Roman" w:cs="Times New Roman"/>
          <w:sz w:val="28"/>
          <w:szCs w:val="28"/>
        </w:rPr>
      </w:pPr>
    </w:p>
    <w:tbl>
      <w:tblPr>
        <w:tblStyle w:val="afa"/>
        <w:tblW w:w="9628" w:type="dxa"/>
        <w:tblInd w:w="-223" w:type="dxa"/>
        <w:tblLayout w:type="fixed"/>
        <w:tblLook w:val="0000" w:firstRow="0" w:lastRow="0" w:firstColumn="0" w:lastColumn="0" w:noHBand="0" w:noVBand="0"/>
      </w:tblPr>
      <w:tblGrid>
        <w:gridCol w:w="3936"/>
        <w:gridCol w:w="5692"/>
      </w:tblGrid>
      <w:tr w:rsidR="00506435" w14:paraId="0D462FEC" w14:textId="77777777">
        <w:tc>
          <w:tcPr>
            <w:tcW w:w="3936" w:type="dxa"/>
          </w:tcPr>
          <w:p w14:paraId="2EC53C24" w14:textId="77777777" w:rsidR="00506435" w:rsidRDefault="00000000">
            <w:pPr>
              <w:widowControl w:val="0"/>
              <w:pBdr>
                <w:top w:val="nil"/>
                <w:left w:val="nil"/>
                <w:bottom w:val="nil"/>
                <w:right w:val="nil"/>
                <w:between w:val="nil"/>
              </w:pBdr>
              <w:spacing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Level of higher education:</w:t>
            </w:r>
          </w:p>
          <w:p w14:paraId="5FA0F290" w14:textId="77777777" w:rsidR="00506435" w:rsidRDefault="00506435">
            <w:pPr>
              <w:widowControl w:val="0"/>
              <w:pBdr>
                <w:top w:val="nil"/>
                <w:left w:val="nil"/>
                <w:bottom w:val="nil"/>
                <w:right w:val="nil"/>
                <w:between w:val="nil"/>
              </w:pBdr>
              <w:spacing w:line="240" w:lineRule="auto"/>
              <w:rPr>
                <w:rFonts w:ascii="Times New Roman" w:eastAsia="Times New Roman" w:hAnsi="Times New Roman" w:cs="Times New Roman"/>
                <w:b/>
                <w:bCs/>
                <w:sz w:val="28"/>
                <w:szCs w:val="28"/>
              </w:rPr>
            </w:pPr>
          </w:p>
        </w:tc>
        <w:tc>
          <w:tcPr>
            <w:tcW w:w="5692" w:type="dxa"/>
          </w:tcPr>
          <w:p w14:paraId="3C867513" w14:textId="77777777" w:rsidR="00506435" w:rsidRDefault="00000000">
            <w:pPr>
              <w:widowControl w:val="0"/>
              <w:pBdr>
                <w:top w:val="nil"/>
                <w:left w:val="nil"/>
                <w:bottom w:val="nil"/>
                <w:right w:val="nil"/>
                <w:between w:val="nil"/>
              </w:pBd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first (bachelor's) level</w:t>
            </w:r>
          </w:p>
        </w:tc>
      </w:tr>
      <w:tr w:rsidR="00506435" w14:paraId="0A2B1713" w14:textId="77777777">
        <w:tc>
          <w:tcPr>
            <w:tcW w:w="3936" w:type="dxa"/>
          </w:tcPr>
          <w:p w14:paraId="58A9384A" w14:textId="77777777" w:rsidR="00506435" w:rsidRDefault="00000000">
            <w:pPr>
              <w:widowControl w:val="0"/>
              <w:pBdr>
                <w:top w:val="nil"/>
                <w:left w:val="nil"/>
                <w:bottom w:val="nil"/>
                <w:right w:val="nil"/>
                <w:between w:val="nil"/>
              </w:pBdr>
              <w:spacing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Field of knowledge: </w:t>
            </w:r>
          </w:p>
        </w:tc>
        <w:tc>
          <w:tcPr>
            <w:tcW w:w="5692" w:type="dxa"/>
          </w:tcPr>
          <w:p w14:paraId="6EE15AA1" w14:textId="77777777" w:rsidR="00506435" w:rsidRDefault="00000000">
            <w:pPr>
              <w:widowControl w:val="0"/>
              <w:pBdr>
                <w:top w:val="nil"/>
                <w:left w:val="nil"/>
                <w:bottom w:val="nil"/>
                <w:right w:val="nil"/>
                <w:between w:val="nil"/>
              </w:pBd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 Business, Administration and Law</w:t>
            </w:r>
          </w:p>
          <w:p w14:paraId="565EB3F8" w14:textId="77777777" w:rsidR="00506435" w:rsidRDefault="00506435">
            <w:pPr>
              <w:widowControl w:val="0"/>
              <w:pBdr>
                <w:top w:val="nil"/>
                <w:left w:val="nil"/>
                <w:bottom w:val="nil"/>
                <w:right w:val="nil"/>
                <w:between w:val="nil"/>
              </w:pBdr>
              <w:spacing w:line="240" w:lineRule="auto"/>
              <w:rPr>
                <w:rFonts w:ascii="Times New Roman" w:eastAsia="Times New Roman" w:hAnsi="Times New Roman" w:cs="Times New Roman"/>
                <w:sz w:val="28"/>
                <w:szCs w:val="28"/>
              </w:rPr>
            </w:pPr>
          </w:p>
        </w:tc>
      </w:tr>
      <w:tr w:rsidR="00506435" w14:paraId="2E06AE99" w14:textId="77777777">
        <w:tc>
          <w:tcPr>
            <w:tcW w:w="3936" w:type="dxa"/>
          </w:tcPr>
          <w:p w14:paraId="3220EF8C" w14:textId="77777777" w:rsidR="00506435" w:rsidRDefault="00000000">
            <w:pPr>
              <w:widowControl w:val="0"/>
              <w:pBdr>
                <w:top w:val="nil"/>
                <w:left w:val="nil"/>
                <w:bottom w:val="nil"/>
                <w:right w:val="nil"/>
                <w:between w:val="nil"/>
              </w:pBdr>
              <w:spacing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Specialty:</w:t>
            </w:r>
          </w:p>
          <w:p w14:paraId="349297D1" w14:textId="77777777" w:rsidR="00506435" w:rsidRDefault="00506435">
            <w:pPr>
              <w:widowControl w:val="0"/>
              <w:pBdr>
                <w:top w:val="nil"/>
                <w:left w:val="nil"/>
                <w:bottom w:val="nil"/>
                <w:right w:val="nil"/>
                <w:between w:val="nil"/>
              </w:pBdr>
              <w:spacing w:line="240" w:lineRule="auto"/>
              <w:rPr>
                <w:rFonts w:ascii="Times New Roman" w:eastAsia="Times New Roman" w:hAnsi="Times New Roman" w:cs="Times New Roman"/>
                <w:b/>
                <w:bCs/>
                <w:sz w:val="28"/>
                <w:szCs w:val="28"/>
              </w:rPr>
            </w:pPr>
          </w:p>
        </w:tc>
        <w:tc>
          <w:tcPr>
            <w:tcW w:w="5692" w:type="dxa"/>
          </w:tcPr>
          <w:p w14:paraId="76D6EB1D" w14:textId="77777777" w:rsidR="00506435" w:rsidRDefault="00000000">
            <w:pPr>
              <w:widowControl w:val="0"/>
              <w:pBdr>
                <w:top w:val="nil"/>
                <w:left w:val="nil"/>
                <w:bottom w:val="nil"/>
                <w:right w:val="nil"/>
                <w:between w:val="nil"/>
              </w:pBd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506435" w14:paraId="5083082F" w14:textId="77777777">
        <w:tc>
          <w:tcPr>
            <w:tcW w:w="3936" w:type="dxa"/>
          </w:tcPr>
          <w:p w14:paraId="5164EF2F" w14:textId="77777777" w:rsidR="00506435" w:rsidRDefault="00000000">
            <w:pPr>
              <w:widowControl w:val="0"/>
              <w:pBdr>
                <w:top w:val="nil"/>
                <w:left w:val="nil"/>
                <w:bottom w:val="nil"/>
                <w:right w:val="nil"/>
                <w:between w:val="nil"/>
              </w:pBdr>
              <w:spacing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Study program:</w:t>
            </w:r>
          </w:p>
        </w:tc>
        <w:tc>
          <w:tcPr>
            <w:tcW w:w="5692" w:type="dxa"/>
          </w:tcPr>
          <w:p w14:paraId="2838C27B" w14:textId="77777777" w:rsidR="00506435" w:rsidRDefault="00000000">
            <w:pPr>
              <w:pStyle w:val="2"/>
              <w:keepNext w:val="0"/>
              <w:widowControl w:val="0"/>
              <w:spacing w:before="0" w:after="0"/>
              <w:ind w:firstLine="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2489AB72" w14:textId="77777777" w:rsidR="00506435" w:rsidRDefault="00506435">
            <w:pPr>
              <w:widowControl w:val="0"/>
              <w:pBdr>
                <w:top w:val="nil"/>
                <w:left w:val="nil"/>
                <w:bottom w:val="nil"/>
                <w:right w:val="nil"/>
                <w:between w:val="nil"/>
              </w:pBdr>
              <w:spacing w:line="240" w:lineRule="auto"/>
              <w:rPr>
                <w:rFonts w:ascii="Times New Roman" w:eastAsia="Times New Roman" w:hAnsi="Times New Roman" w:cs="Times New Roman"/>
                <w:sz w:val="28"/>
                <w:szCs w:val="28"/>
              </w:rPr>
            </w:pPr>
          </w:p>
        </w:tc>
      </w:tr>
    </w:tbl>
    <w:p w14:paraId="4DDDCFC3"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p>
    <w:p w14:paraId="517839C4" w14:textId="77777777" w:rsidR="00506435" w:rsidRDefault="00506435">
      <w:pPr>
        <w:widowControl w:val="0"/>
        <w:spacing w:line="240" w:lineRule="auto"/>
        <w:rPr>
          <w:rFonts w:ascii="Times New Roman" w:eastAsia="Times New Roman" w:hAnsi="Times New Roman" w:cs="Times New Roman"/>
          <w:sz w:val="28"/>
          <w:szCs w:val="28"/>
        </w:rPr>
      </w:pPr>
    </w:p>
    <w:p w14:paraId="0C4CEA73" w14:textId="77777777" w:rsidR="00506435" w:rsidRDefault="00506435">
      <w:pPr>
        <w:widowControl w:val="0"/>
        <w:spacing w:line="240" w:lineRule="auto"/>
        <w:rPr>
          <w:rFonts w:ascii="Times New Roman" w:eastAsia="Times New Roman" w:hAnsi="Times New Roman" w:cs="Times New Roman"/>
          <w:sz w:val="28"/>
          <w:szCs w:val="28"/>
        </w:rPr>
      </w:pPr>
    </w:p>
    <w:p w14:paraId="7DCAF3DF" w14:textId="77777777" w:rsidR="00506435" w:rsidRDefault="00506435">
      <w:pPr>
        <w:widowControl w:val="0"/>
        <w:spacing w:line="240" w:lineRule="auto"/>
        <w:rPr>
          <w:rFonts w:ascii="Times New Roman" w:eastAsia="Times New Roman" w:hAnsi="Times New Roman" w:cs="Times New Roman"/>
          <w:sz w:val="28"/>
          <w:szCs w:val="28"/>
        </w:rPr>
      </w:pPr>
    </w:p>
    <w:p w14:paraId="6DFAB7C2"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p>
    <w:p w14:paraId="46687028" w14:textId="77777777" w:rsidR="00506435" w:rsidRDefault="00506435">
      <w:pPr>
        <w:widowControl w:val="0"/>
        <w:spacing w:line="240" w:lineRule="auto"/>
        <w:rPr>
          <w:rFonts w:ascii="Times New Roman" w:eastAsia="Times New Roman" w:hAnsi="Times New Roman" w:cs="Times New Roman"/>
          <w:sz w:val="28"/>
          <w:szCs w:val="28"/>
        </w:rPr>
      </w:pPr>
    </w:p>
    <w:p w14:paraId="2FA390EA" w14:textId="77777777" w:rsidR="00506435" w:rsidRDefault="00506435">
      <w:pPr>
        <w:widowControl w:val="0"/>
        <w:spacing w:line="240" w:lineRule="auto"/>
        <w:rPr>
          <w:rFonts w:ascii="Times New Roman" w:eastAsia="Times New Roman" w:hAnsi="Times New Roman" w:cs="Times New Roman"/>
          <w:sz w:val="28"/>
          <w:szCs w:val="28"/>
        </w:rPr>
      </w:pPr>
    </w:p>
    <w:p w14:paraId="30FB2771" w14:textId="77777777" w:rsidR="00506435" w:rsidRDefault="00506435">
      <w:pPr>
        <w:widowControl w:val="0"/>
        <w:spacing w:line="240" w:lineRule="auto"/>
        <w:rPr>
          <w:rFonts w:ascii="Times New Roman" w:eastAsia="Times New Roman" w:hAnsi="Times New Roman" w:cs="Times New Roman"/>
          <w:sz w:val="28"/>
          <w:szCs w:val="28"/>
        </w:rPr>
      </w:pPr>
    </w:p>
    <w:p w14:paraId="2E24EA00"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IAPM  2025</w:t>
      </w:r>
    </w:p>
    <w:p w14:paraId="5931D492" w14:textId="77777777" w:rsidR="00506435" w:rsidRDefault="00506435">
      <w:pPr>
        <w:widowControl w:val="0"/>
        <w:spacing w:line="240" w:lineRule="auto"/>
        <w:rPr>
          <w:rFonts w:ascii="Times New Roman" w:eastAsia="Times New Roman" w:hAnsi="Times New Roman" w:cs="Times New Roman"/>
          <w:sz w:val="28"/>
          <w:szCs w:val="28"/>
        </w:rPr>
      </w:pPr>
    </w:p>
    <w:p w14:paraId="67B4C552" w14:textId="77777777" w:rsidR="00506435" w:rsidRDefault="00506435">
      <w:pPr>
        <w:widowControl w:val="0"/>
        <w:spacing w:line="240" w:lineRule="auto"/>
        <w:jc w:val="center"/>
        <w:rPr>
          <w:rFonts w:ascii="Times New Roman" w:eastAsia="Times New Roman" w:hAnsi="Times New Roman" w:cs="Times New Roman"/>
          <w:b/>
          <w:bCs/>
          <w:sz w:val="28"/>
          <w:szCs w:val="28"/>
        </w:rPr>
      </w:pPr>
    </w:p>
    <w:p w14:paraId="1D02C44A" w14:textId="77777777" w:rsidR="00506435" w:rsidRDefault="00506435">
      <w:pPr>
        <w:widowControl w:val="0"/>
        <w:spacing w:line="240" w:lineRule="auto"/>
        <w:jc w:val="center"/>
        <w:rPr>
          <w:rFonts w:ascii="Times New Roman" w:eastAsia="Times New Roman" w:hAnsi="Times New Roman" w:cs="Times New Roman"/>
          <w:b/>
          <w:bCs/>
          <w:sz w:val="28"/>
          <w:szCs w:val="28"/>
        </w:rPr>
      </w:pPr>
    </w:p>
    <w:p w14:paraId="0E311B22" w14:textId="77777777" w:rsidR="00506435" w:rsidRDefault="00506435">
      <w:pPr>
        <w:widowControl w:val="0"/>
        <w:spacing w:line="240" w:lineRule="auto"/>
        <w:jc w:val="both"/>
        <w:rPr>
          <w:rFonts w:ascii="Times New Roman" w:eastAsia="Times New Roman" w:hAnsi="Times New Roman" w:cs="Times New Roman"/>
          <w:b/>
          <w:bCs/>
          <w:i/>
          <w:iCs/>
          <w:sz w:val="28"/>
          <w:szCs w:val="28"/>
        </w:rPr>
      </w:pPr>
    </w:p>
    <w:p w14:paraId="0CEAAF70" w14:textId="77777777" w:rsidR="00506435" w:rsidRDefault="00506435">
      <w:pPr>
        <w:widowControl w:val="0"/>
        <w:spacing w:line="240" w:lineRule="auto"/>
        <w:jc w:val="both"/>
        <w:rPr>
          <w:rFonts w:ascii="Times New Roman" w:eastAsia="Times New Roman" w:hAnsi="Times New Roman" w:cs="Times New Roman"/>
          <w:b/>
          <w:bCs/>
          <w:i/>
          <w:iCs/>
          <w:sz w:val="28"/>
          <w:szCs w:val="28"/>
        </w:rPr>
      </w:pPr>
    </w:p>
    <w:p w14:paraId="22590520" w14:textId="77777777" w:rsidR="00506435"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General information about the academic discipline</w:t>
      </w:r>
    </w:p>
    <w:p w14:paraId="4C266142" w14:textId="77777777" w:rsidR="00506435" w:rsidRDefault="00506435">
      <w:pPr>
        <w:widowControl w:val="0"/>
        <w:spacing w:line="240" w:lineRule="auto"/>
        <w:jc w:val="center"/>
        <w:rPr>
          <w:rFonts w:ascii="Times New Roman" w:eastAsia="Times New Roman" w:hAnsi="Times New Roman" w:cs="Times New Roman"/>
          <w:sz w:val="28"/>
          <w:szCs w:val="28"/>
        </w:rPr>
      </w:pPr>
    </w:p>
    <w:tbl>
      <w:tblPr>
        <w:tblStyle w:val="afb"/>
        <w:tblW w:w="9747"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44"/>
        <w:gridCol w:w="5103"/>
      </w:tblGrid>
      <w:tr w:rsidR="00506435" w14:paraId="7232DAB0" w14:textId="77777777">
        <w:tc>
          <w:tcPr>
            <w:tcW w:w="4644" w:type="dxa"/>
          </w:tcPr>
          <w:p w14:paraId="776E0980"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Name of the academic discipline</w:t>
            </w:r>
          </w:p>
        </w:tc>
        <w:tc>
          <w:tcPr>
            <w:tcW w:w="5103" w:type="dxa"/>
          </w:tcPr>
          <w:p w14:paraId="536F5C40"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Modern Ukrainian language</w:t>
            </w:r>
          </w:p>
        </w:tc>
      </w:tr>
      <w:tr w:rsidR="00506435" w14:paraId="32563E4E" w14:textId="77777777">
        <w:tc>
          <w:tcPr>
            <w:tcW w:w="4644" w:type="dxa"/>
          </w:tcPr>
          <w:p w14:paraId="23FC912B"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Code and name of </w:t>
            </w:r>
            <w:proofErr w:type="gramStart"/>
            <w:r>
              <w:rPr>
                <w:rFonts w:ascii="Times New Roman" w:eastAsia="Times New Roman" w:hAnsi="Times New Roman" w:cs="Times New Roman"/>
                <w:sz w:val="28"/>
                <w:szCs w:val="28"/>
              </w:rPr>
              <w:t xml:space="preserve">the </w:t>
            </w:r>
            <w:r>
              <w:rPr>
                <w:rFonts w:ascii="Times New Roman" w:eastAsia="Times New Roman" w:hAnsi="Times New Roman" w:cs="Times New Roman"/>
                <w:b/>
                <w:bCs/>
                <w:i/>
                <w:iCs/>
                <w:sz w:val="28"/>
                <w:szCs w:val="28"/>
              </w:rPr>
              <w:t xml:space="preserve"> </w:t>
            </w:r>
            <w:r>
              <w:rPr>
                <w:rFonts w:ascii="Times New Roman" w:eastAsia="Times New Roman" w:hAnsi="Times New Roman" w:cs="Times New Roman"/>
                <w:sz w:val="28"/>
                <w:szCs w:val="28"/>
              </w:rPr>
              <w:t>specialty</w:t>
            </w:r>
            <w:proofErr w:type="gramEnd"/>
          </w:p>
        </w:tc>
        <w:tc>
          <w:tcPr>
            <w:tcW w:w="5103" w:type="dxa"/>
          </w:tcPr>
          <w:p w14:paraId="2B59E295"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506435" w14:paraId="0209F94B" w14:textId="77777777">
        <w:tc>
          <w:tcPr>
            <w:tcW w:w="4644" w:type="dxa"/>
          </w:tcPr>
          <w:p w14:paraId="31A0F773"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Level of higher education </w:t>
            </w:r>
          </w:p>
        </w:tc>
        <w:tc>
          <w:tcPr>
            <w:tcW w:w="5103" w:type="dxa"/>
          </w:tcPr>
          <w:p w14:paraId="0741CAB3"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First (bachelor's) level</w:t>
            </w:r>
          </w:p>
        </w:tc>
      </w:tr>
      <w:tr w:rsidR="00506435" w14:paraId="2F1CD28B" w14:textId="77777777">
        <w:tc>
          <w:tcPr>
            <w:tcW w:w="4644" w:type="dxa"/>
          </w:tcPr>
          <w:p w14:paraId="53AD5191" w14:textId="77777777" w:rsidR="00506435" w:rsidRDefault="00000000">
            <w:pPr>
              <w:widowControl w:val="0"/>
              <w:spacing w:line="240" w:lineRule="auto"/>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Discipline  status</w:t>
            </w:r>
            <w:proofErr w:type="gramEnd"/>
            <w:r>
              <w:rPr>
                <w:rFonts w:ascii="Times New Roman" w:eastAsia="Times New Roman" w:hAnsi="Times New Roman" w:cs="Times New Roman"/>
                <w:sz w:val="28"/>
                <w:szCs w:val="28"/>
              </w:rPr>
              <w:t xml:space="preserve"> </w:t>
            </w:r>
          </w:p>
        </w:tc>
        <w:tc>
          <w:tcPr>
            <w:tcW w:w="5103" w:type="dxa"/>
          </w:tcPr>
          <w:p w14:paraId="3B1EFEAC"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Compulsory</w:t>
            </w:r>
          </w:p>
        </w:tc>
      </w:tr>
      <w:tr w:rsidR="00506435" w14:paraId="23CE1DC7" w14:textId="77777777">
        <w:tc>
          <w:tcPr>
            <w:tcW w:w="4644" w:type="dxa"/>
          </w:tcPr>
          <w:p w14:paraId="7FC5F1F6"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Number of credits and hours</w:t>
            </w:r>
          </w:p>
        </w:tc>
        <w:tc>
          <w:tcPr>
            <w:tcW w:w="5103" w:type="dxa"/>
          </w:tcPr>
          <w:p w14:paraId="67E077E8"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 credits/120 hours</w:t>
            </w:r>
          </w:p>
          <w:p w14:paraId="2964DDC4"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Lectures: 26 hours</w:t>
            </w:r>
          </w:p>
          <w:p w14:paraId="1D9C83EB"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Practical classes: 26 hours</w:t>
            </w:r>
          </w:p>
          <w:p w14:paraId="187D8E70"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Independent work: 68 hours</w:t>
            </w:r>
          </w:p>
        </w:tc>
      </w:tr>
      <w:tr w:rsidR="00506435" w14:paraId="7736F5D9" w14:textId="77777777">
        <w:tc>
          <w:tcPr>
            <w:tcW w:w="4644" w:type="dxa"/>
          </w:tcPr>
          <w:p w14:paraId="355932E3"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Terms of study of the discipline</w:t>
            </w:r>
          </w:p>
        </w:tc>
        <w:tc>
          <w:tcPr>
            <w:tcW w:w="5103" w:type="dxa"/>
          </w:tcPr>
          <w:p w14:paraId="3A01EEE7"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semester</w:t>
            </w:r>
          </w:p>
        </w:tc>
      </w:tr>
      <w:tr w:rsidR="00506435" w14:paraId="071D0608" w14:textId="77777777">
        <w:tc>
          <w:tcPr>
            <w:tcW w:w="4644" w:type="dxa"/>
          </w:tcPr>
          <w:p w14:paraId="12826F2F"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Language of instruction</w:t>
            </w:r>
          </w:p>
        </w:tc>
        <w:tc>
          <w:tcPr>
            <w:tcW w:w="5103" w:type="dxa"/>
          </w:tcPr>
          <w:p w14:paraId="30F02089"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Ukrainian</w:t>
            </w:r>
          </w:p>
        </w:tc>
      </w:tr>
      <w:tr w:rsidR="00506435" w14:paraId="092A9F9D" w14:textId="77777777">
        <w:tc>
          <w:tcPr>
            <w:tcW w:w="4644" w:type="dxa"/>
          </w:tcPr>
          <w:p w14:paraId="7F7D27B6"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Final control type </w:t>
            </w:r>
          </w:p>
        </w:tc>
        <w:tc>
          <w:tcPr>
            <w:tcW w:w="5103" w:type="dxa"/>
          </w:tcPr>
          <w:p w14:paraId="7F6963E7" w14:textId="77777777" w:rsidR="00506435"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Exam</w:t>
            </w:r>
          </w:p>
        </w:tc>
      </w:tr>
    </w:tbl>
    <w:p w14:paraId="433A05E7" w14:textId="77777777" w:rsidR="00506435" w:rsidRDefault="00506435">
      <w:pPr>
        <w:widowControl w:val="0"/>
        <w:spacing w:line="240" w:lineRule="auto"/>
        <w:jc w:val="center"/>
        <w:rPr>
          <w:rFonts w:ascii="Times New Roman" w:eastAsia="Times New Roman" w:hAnsi="Times New Roman" w:cs="Times New Roman"/>
          <w:sz w:val="28"/>
          <w:szCs w:val="28"/>
        </w:rPr>
      </w:pPr>
    </w:p>
    <w:p w14:paraId="24014DC7"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General information about the instructor. Contact information.</w:t>
      </w:r>
    </w:p>
    <w:p w14:paraId="6111A37B" w14:textId="77777777" w:rsidR="00506435" w:rsidRDefault="00506435">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
    <w:tbl>
      <w:tblPr>
        <w:tblW w:w="9350" w:type="dxa"/>
        <w:tblInd w:w="130" w:type="dxa"/>
        <w:tblLayout w:type="fixed"/>
        <w:tblLook w:val="0400" w:firstRow="0" w:lastRow="0" w:firstColumn="0" w:lastColumn="0" w:noHBand="0" w:noVBand="1"/>
      </w:tblPr>
      <w:tblGrid>
        <w:gridCol w:w="4310"/>
        <w:gridCol w:w="5040"/>
      </w:tblGrid>
      <w:tr w:rsidR="00EA2739" w:rsidRPr="00EA2739" w14:paraId="38CC0692" w14:textId="77777777" w:rsidTr="004E4E78">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E04258D"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r w:rsidRPr="00EA2739">
              <w:rPr>
                <w:rFonts w:ascii="Times New Roman" w:eastAsia="Times New Roman" w:hAnsi="Times New Roman" w:cs="Times New Roman"/>
                <w:color w:val="000000"/>
                <w:sz w:val="28"/>
                <w:szCs w:val="28"/>
                <w:lang w:eastAsia="ru-UA"/>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0214E78"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val="ru-UA" w:eastAsia="ru-UA"/>
              </w:rPr>
            </w:pPr>
            <w:r w:rsidRPr="00EA2739">
              <w:rPr>
                <w:rFonts w:ascii="Times New Roman" w:eastAsia="Times New Roman" w:hAnsi="Times New Roman" w:cs="Times New Roman"/>
                <w:color w:val="000000"/>
                <w:sz w:val="28"/>
                <w:szCs w:val="28"/>
                <w:lang w:val="en" w:eastAsia="ru-UA"/>
              </w:rPr>
              <w:t xml:space="preserve">Sazonova Olena </w:t>
            </w:r>
          </w:p>
        </w:tc>
      </w:tr>
      <w:tr w:rsidR="00EA2739" w:rsidRPr="00EA2739" w14:paraId="1DEBA902" w14:textId="77777777" w:rsidTr="004E4E78">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624D2A1"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r w:rsidRPr="00EA2739">
              <w:rPr>
                <w:rFonts w:ascii="Times New Roman" w:eastAsia="Times New Roman" w:hAnsi="Times New Roman" w:cs="Times New Roman"/>
                <w:color w:val="000000"/>
                <w:sz w:val="28"/>
                <w:szCs w:val="28"/>
                <w:lang w:eastAsia="ru-UA"/>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DB117D2"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val="ru-UA" w:eastAsia="ru-UA"/>
              </w:rPr>
            </w:pPr>
            <w:r w:rsidRPr="00EA2739">
              <w:rPr>
                <w:rFonts w:ascii="Times New Roman" w:eastAsia="Times New Roman" w:hAnsi="Times New Roman" w:cs="Times New Roman"/>
                <w:color w:val="000000"/>
                <w:sz w:val="28"/>
                <w:szCs w:val="28"/>
                <w:lang w:val="en" w:eastAsia="ru-UA"/>
              </w:rPr>
              <w:t>Candidate of Philological Sciences</w:t>
            </w:r>
          </w:p>
        </w:tc>
      </w:tr>
      <w:tr w:rsidR="00EA2739" w:rsidRPr="00EA2739" w14:paraId="13D72A3F" w14:textId="77777777" w:rsidTr="004E4E78">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4BF83C5"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r w:rsidRPr="00EA2739">
              <w:rPr>
                <w:rFonts w:ascii="Times New Roman" w:eastAsia="Times New Roman" w:hAnsi="Times New Roman" w:cs="Times New Roman"/>
                <w:color w:val="000000"/>
                <w:sz w:val="28"/>
                <w:szCs w:val="28"/>
                <w:lang w:eastAsia="ru-UA"/>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22F18CB"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val="ru-UA" w:eastAsia="ru-UA"/>
              </w:rPr>
            </w:pPr>
            <w:r w:rsidRPr="00EA2739">
              <w:rPr>
                <w:rFonts w:ascii="Times New Roman" w:eastAsia="Times New Roman" w:hAnsi="Times New Roman" w:cs="Times New Roman"/>
                <w:color w:val="000000"/>
                <w:sz w:val="28"/>
                <w:szCs w:val="28"/>
                <w:lang w:val="en" w:eastAsia="ru-UA"/>
              </w:rPr>
              <w:t>Docent</w:t>
            </w:r>
          </w:p>
        </w:tc>
      </w:tr>
      <w:tr w:rsidR="00EA2739" w:rsidRPr="00EA2739" w14:paraId="56108245" w14:textId="77777777" w:rsidTr="004E4E78">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07C6829"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r w:rsidRPr="00EA2739">
              <w:rPr>
                <w:rFonts w:ascii="Times New Roman" w:eastAsia="Times New Roman" w:hAnsi="Times New Roman" w:cs="Times New Roman"/>
                <w:color w:val="000000"/>
                <w:sz w:val="28"/>
                <w:szCs w:val="28"/>
                <w:lang w:eastAsia="ru-UA"/>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FB4CC5A"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val="ru-UA" w:eastAsia="ru-UA"/>
              </w:rPr>
            </w:pPr>
            <w:r w:rsidRPr="00EA2739">
              <w:rPr>
                <w:rFonts w:ascii="Times New Roman" w:eastAsia="Times New Roman" w:hAnsi="Times New Roman" w:cs="Times New Roman"/>
                <w:color w:val="000000"/>
                <w:sz w:val="28"/>
                <w:szCs w:val="28"/>
                <w:lang w:val="en" w:eastAsia="ru-UA"/>
              </w:rPr>
              <w:t>philology</w:t>
            </w:r>
          </w:p>
        </w:tc>
      </w:tr>
      <w:tr w:rsidR="00EA2739" w:rsidRPr="00EA2739" w14:paraId="2B54538F" w14:textId="77777777" w:rsidTr="004E4E78">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262685B"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r w:rsidRPr="00EA2739">
              <w:rPr>
                <w:rFonts w:ascii="Times New Roman" w:eastAsia="Times New Roman" w:hAnsi="Times New Roman" w:cs="Times New Roman"/>
                <w:color w:val="000000"/>
                <w:sz w:val="28"/>
                <w:szCs w:val="28"/>
                <w:lang w:eastAsia="ru-UA"/>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44A5C5A" w14:textId="77777777" w:rsidR="00EA2739" w:rsidRPr="00EA2739" w:rsidRDefault="00EA2739" w:rsidP="00EA2739">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lang w:eastAsia="ru-UA"/>
              </w:rPr>
            </w:pPr>
            <w:r w:rsidRPr="00EA2739">
              <w:rPr>
                <w:rFonts w:ascii="Times New Roman" w:eastAsia="Times New Roman" w:hAnsi="Times New Roman" w:cs="Times New Roman"/>
                <w:sz w:val="24"/>
                <w:szCs w:val="24"/>
                <w:lang w:eastAsia="ru-UA"/>
              </w:rPr>
              <w:t>ORCSD:</w:t>
            </w:r>
            <w:r w:rsidRPr="00EA2739">
              <w:rPr>
                <w:rFonts w:ascii="Times New Roman" w:eastAsia="Times New Roman" w:hAnsi="Times New Roman" w:cs="Times New Roman"/>
                <w:color w:val="FF0000"/>
                <w:sz w:val="24"/>
                <w:szCs w:val="24"/>
                <w:lang w:eastAsia="ru-UA"/>
              </w:rPr>
              <w:t xml:space="preserve"> </w:t>
            </w:r>
            <w:r w:rsidRPr="00EA2739">
              <w:rPr>
                <w:rFonts w:ascii="Times New Roman" w:eastAsia="Times New Roman" w:hAnsi="Times New Roman" w:cs="Times New Roman"/>
                <w:color w:val="000000"/>
                <w:sz w:val="24"/>
                <w:szCs w:val="24"/>
                <w:lang w:eastAsia="ru-UA"/>
              </w:rPr>
              <w:t>0000-0001-6633-2348</w:t>
            </w:r>
          </w:p>
          <w:p w14:paraId="53C5B4BF"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sz w:val="24"/>
                <w:szCs w:val="24"/>
                <w:lang w:val="ru-UA" w:eastAsia="ru-UA"/>
              </w:rPr>
            </w:pPr>
            <w:proofErr w:type="spellStart"/>
            <w:r w:rsidRPr="00EA2739">
              <w:rPr>
                <w:rFonts w:ascii="Times New Roman" w:eastAsia="Times New Roman" w:hAnsi="Times New Roman" w:cs="Times New Roman"/>
                <w:sz w:val="24"/>
                <w:szCs w:val="24"/>
                <w:lang w:val="en" w:eastAsia="ru-UA"/>
              </w:rPr>
              <w:t>GoogleAcademy</w:t>
            </w:r>
            <w:proofErr w:type="spellEnd"/>
            <w:r w:rsidRPr="00EA2739">
              <w:rPr>
                <w:rFonts w:ascii="Times New Roman" w:eastAsia="Times New Roman" w:hAnsi="Times New Roman" w:cs="Times New Roman"/>
                <w:sz w:val="24"/>
                <w:szCs w:val="24"/>
                <w:lang w:val="en" w:eastAsia="ru-UA"/>
              </w:rPr>
              <w:t xml:space="preserve"> profile:</w:t>
            </w:r>
          </w:p>
          <w:p w14:paraId="62B3EB3C"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hyperlink r:id="rId7" w:history="1">
              <w:r w:rsidRPr="00EA2739">
                <w:rPr>
                  <w:rFonts w:ascii="Times New Roman" w:eastAsia="Times New Roman" w:hAnsi="Times New Roman" w:cs="Times New Roman"/>
                  <w:sz w:val="24"/>
                  <w:szCs w:val="24"/>
                  <w:lang w:eastAsia="ru-UA"/>
                </w:rPr>
                <w:t>https://scholar.google.com/citations?hl=ru&amp;user=JJkBqScAAAAJ</w:t>
              </w:r>
            </w:hyperlink>
          </w:p>
        </w:tc>
      </w:tr>
      <w:tr w:rsidR="00EA2739" w:rsidRPr="00EA2739" w14:paraId="401273A7" w14:textId="77777777" w:rsidTr="004E4E78">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D166AF7"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r w:rsidRPr="00EA2739">
              <w:rPr>
                <w:rFonts w:ascii="Times New Roman" w:eastAsia="Times New Roman" w:hAnsi="Times New Roman" w:cs="Times New Roman"/>
                <w:color w:val="000000"/>
                <w:sz w:val="28"/>
                <w:szCs w:val="28"/>
                <w:lang w:eastAsia="ru-UA"/>
              </w:rPr>
              <w:t>Contact information</w:t>
            </w:r>
          </w:p>
        </w:tc>
      </w:tr>
      <w:tr w:rsidR="00EA2739" w:rsidRPr="00EA2739" w14:paraId="026D1FCC" w14:textId="77777777" w:rsidTr="004E4E78">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EEB930E"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r w:rsidRPr="00EA2739">
              <w:rPr>
                <w:rFonts w:ascii="Times New Roman" w:eastAsia="Times New Roman" w:hAnsi="Times New Roman" w:cs="Times New Roman"/>
                <w:color w:val="000000"/>
                <w:sz w:val="28"/>
                <w:szCs w:val="28"/>
                <w:lang w:eastAsia="ru-UA"/>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E753B34"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p>
        </w:tc>
      </w:tr>
      <w:tr w:rsidR="00EA2739" w:rsidRPr="00EA2739" w14:paraId="33D83DE7" w14:textId="77777777" w:rsidTr="004E4E78">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F6989C9"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r w:rsidRPr="00EA2739">
              <w:rPr>
                <w:rFonts w:ascii="Times New Roman" w:eastAsia="Times New Roman" w:hAnsi="Times New Roman" w:cs="Times New Roman"/>
                <w:color w:val="000000"/>
                <w:sz w:val="28"/>
                <w:szCs w:val="28"/>
                <w:lang w:eastAsia="ru-UA"/>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ED7B218"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p>
        </w:tc>
      </w:tr>
      <w:tr w:rsidR="00EA2739" w:rsidRPr="00EA2739" w14:paraId="2939ECA0" w14:textId="77777777" w:rsidTr="004E4E78">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9CB9213"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r w:rsidRPr="00EA2739">
              <w:rPr>
                <w:rFonts w:ascii="Times New Roman" w:eastAsia="Times New Roman" w:hAnsi="Times New Roman" w:cs="Times New Roman"/>
                <w:color w:val="000000"/>
                <w:sz w:val="28"/>
                <w:szCs w:val="28"/>
                <w:lang w:eastAsia="ru-UA"/>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1AF9D7F" w14:textId="77777777" w:rsidR="00EA2739" w:rsidRPr="00EA2739" w:rsidRDefault="00EA2739" w:rsidP="00EA2739">
            <w:pPr>
              <w:pBdr>
                <w:top w:val="nil"/>
                <w:left w:val="nil"/>
                <w:bottom w:val="nil"/>
                <w:right w:val="nil"/>
                <w:between w:val="nil"/>
              </w:pBdr>
              <w:spacing w:line="240" w:lineRule="auto"/>
              <w:rPr>
                <w:rFonts w:ascii="Times New Roman" w:eastAsia="Times New Roman" w:hAnsi="Times New Roman" w:cs="Times New Roman"/>
                <w:color w:val="000000"/>
                <w:sz w:val="28"/>
                <w:szCs w:val="28"/>
                <w:lang w:eastAsia="ru-UA"/>
              </w:rPr>
            </w:pPr>
            <w:hyperlink r:id="rId8" w:history="1">
              <w:r w:rsidRPr="00EA2739">
                <w:rPr>
                  <w:rFonts w:ascii="Times New Roman" w:eastAsia="Times New Roman" w:hAnsi="Times New Roman" w:cs="Times New Roman"/>
                  <w:color w:val="0000FF"/>
                  <w:sz w:val="24"/>
                  <w:szCs w:val="24"/>
                  <w:u w:val="single"/>
                  <w:lang w:eastAsia="ru-UA"/>
                </w:rPr>
                <w:t>https://chern.maup.com.ua/wp-content/uploads/2025/09/2025-26_sazonova_portfolio.pdf</w:t>
              </w:r>
            </w:hyperlink>
            <w:r w:rsidRPr="00EA2739">
              <w:rPr>
                <w:rFonts w:ascii="Times New Roman" w:eastAsia="Times New Roman" w:hAnsi="Times New Roman" w:cs="Times New Roman"/>
                <w:sz w:val="24"/>
                <w:szCs w:val="24"/>
                <w:lang w:eastAsia="ru-UA"/>
              </w:rPr>
              <w:t xml:space="preserve"> </w:t>
            </w:r>
          </w:p>
        </w:tc>
      </w:tr>
    </w:tbl>
    <w:p w14:paraId="62B60AA4" w14:textId="77777777" w:rsidR="00506435" w:rsidRDefault="00506435">
      <w:pPr>
        <w:widowControl w:val="0"/>
        <w:spacing w:line="240" w:lineRule="auto"/>
        <w:jc w:val="both"/>
        <w:rPr>
          <w:b/>
          <w:bCs/>
          <w:sz w:val="28"/>
          <w:szCs w:val="28"/>
        </w:rPr>
      </w:pPr>
    </w:p>
    <w:p w14:paraId="7CC320A6" w14:textId="77777777" w:rsidR="00506435"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Discipline’s description.</w:t>
      </w:r>
    </w:p>
    <w:p w14:paraId="64C86FCC"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course “Modern Ukrainian language” has been developed in accordance with the educational and professional programme for bachelors in D3 Management, taking into account the requirements for future specialists in this field. The course is a compulsory part of the general training cycle for future bachelor's degree specialists, as proficiency in the state language is an integral part of the professional training of all specialists in higher education institutions. The course “Modern Ukrainian language” is aimed at providing students with knowledge about the peculiarities of the spoken and written </w:t>
      </w:r>
      <w:r>
        <w:rPr>
          <w:rFonts w:ascii="Times New Roman" w:eastAsia="Times New Roman" w:hAnsi="Times New Roman" w:cs="Times New Roman"/>
          <w:sz w:val="28"/>
          <w:szCs w:val="28"/>
        </w:rPr>
        <w:lastRenderedPageBreak/>
        <w:t>forms of the Ukrainian language, developing practical skills in literate writing and oral communication, and helping students master the norms of modern Ukrainian literary language.</w:t>
      </w:r>
    </w:p>
    <w:p w14:paraId="7875C9BC" w14:textId="77777777" w:rsidR="00506435" w:rsidRDefault="00506435">
      <w:pPr>
        <w:widowControl w:val="0"/>
        <w:spacing w:line="240" w:lineRule="auto"/>
        <w:jc w:val="both"/>
        <w:rPr>
          <w:rFonts w:ascii="Times New Roman" w:eastAsia="Times New Roman" w:hAnsi="Times New Roman" w:cs="Times New Roman"/>
          <w:b/>
          <w:bCs/>
          <w:sz w:val="28"/>
          <w:szCs w:val="28"/>
        </w:rPr>
      </w:pPr>
    </w:p>
    <w:p w14:paraId="59C92F53"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subject of the discipline</w:t>
      </w:r>
      <w:r>
        <w:rPr>
          <w:sz w:val="28"/>
          <w:szCs w:val="28"/>
        </w:rPr>
        <w:t xml:space="preserve"> </w:t>
      </w:r>
      <w:r>
        <w:rPr>
          <w:rFonts w:ascii="Times New Roman" w:eastAsia="Times New Roman" w:hAnsi="Times New Roman" w:cs="Times New Roman"/>
          <w:sz w:val="28"/>
          <w:szCs w:val="28"/>
        </w:rPr>
        <w:t>is the normative and stylistic foundations of modern Ukrainian language (styles of Ukrainian language; orthoepic, accentual, lexical, orthographic, morphological, and syntactic norms of modern Ukrainian language), the basics of oral speech culture (speech etiquette, culture of public speaking).</w:t>
      </w:r>
    </w:p>
    <w:p w14:paraId="16297113" w14:textId="77777777" w:rsidR="00506435" w:rsidRDefault="00506435">
      <w:pPr>
        <w:widowControl w:val="0"/>
        <w:spacing w:line="240" w:lineRule="auto"/>
        <w:jc w:val="both"/>
        <w:rPr>
          <w:rFonts w:ascii="Times New Roman" w:eastAsia="Times New Roman" w:hAnsi="Times New Roman" w:cs="Times New Roman"/>
          <w:b/>
          <w:bCs/>
          <w:sz w:val="28"/>
          <w:szCs w:val="28"/>
        </w:rPr>
      </w:pPr>
    </w:p>
    <w:p w14:paraId="4EE3AB49" w14:textId="77777777" w:rsidR="00506435" w:rsidRDefault="00000000">
      <w:pPr>
        <w:widowControl w:val="0"/>
        <w:spacing w:line="240" w:lineRule="auto"/>
        <w:jc w:val="both"/>
        <w:rPr>
          <w:rFonts w:ascii="Times New Roman" w:eastAsia="Times New Roman" w:hAnsi="Times New Roman" w:cs="Times New Roman"/>
          <w:sz w:val="28"/>
          <w:szCs w:val="28"/>
        </w:rPr>
      </w:pPr>
      <w:bookmarkStart w:id="0" w:name="_heading=h.ylun7fa78pws" w:colFirst="0" w:colLast="0"/>
      <w:bookmarkEnd w:id="0"/>
      <w:r>
        <w:rPr>
          <w:rFonts w:ascii="Times New Roman" w:eastAsia="Times New Roman" w:hAnsi="Times New Roman" w:cs="Times New Roman"/>
          <w:b/>
          <w:bCs/>
          <w:sz w:val="28"/>
          <w:szCs w:val="28"/>
        </w:rPr>
        <w:t>The aim of the discipline</w:t>
      </w:r>
      <w:r>
        <w:rPr>
          <w:sz w:val="28"/>
          <w:szCs w:val="28"/>
        </w:rPr>
        <w:t xml:space="preserve"> </w:t>
      </w:r>
      <w:r>
        <w:rPr>
          <w:rFonts w:ascii="Times New Roman" w:eastAsia="Times New Roman" w:hAnsi="Times New Roman" w:cs="Times New Roman"/>
          <w:sz w:val="28"/>
          <w:szCs w:val="28"/>
        </w:rPr>
        <w:t>is to improve the level of general language training, language literacy, and communicative competence of students, as well as to provide them with practical mastery of the basics of oral speech culture for the formation of professional skills and competitiveness of modern specialists.</w:t>
      </w:r>
    </w:p>
    <w:p w14:paraId="0F2EF101" w14:textId="77777777" w:rsidR="00506435" w:rsidRDefault="00506435">
      <w:pPr>
        <w:widowControl w:val="0"/>
        <w:spacing w:line="240" w:lineRule="auto"/>
        <w:jc w:val="both"/>
        <w:rPr>
          <w:rFonts w:ascii="Times New Roman" w:eastAsia="Times New Roman" w:hAnsi="Times New Roman" w:cs="Times New Roman"/>
          <w:b/>
          <w:bCs/>
          <w:sz w:val="28"/>
          <w:szCs w:val="28"/>
        </w:rPr>
      </w:pPr>
    </w:p>
    <w:p w14:paraId="16E072E8"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The objectives of the discipline: </w:t>
      </w:r>
    </w:p>
    <w:p w14:paraId="3BA4E2F5" w14:textId="77777777" w:rsidR="00506435" w:rsidRDefault="00000000">
      <w:pPr>
        <w:widowControl w:val="0"/>
        <w:numPr>
          <w:ilvl w:val="0"/>
          <w:numId w:val="2"/>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Study the theoretical foundations of the norms of modern Ukrainian language; </w:t>
      </w:r>
    </w:p>
    <w:p w14:paraId="3FA39F14" w14:textId="77777777" w:rsidR="00506435" w:rsidRDefault="00000000">
      <w:pPr>
        <w:widowControl w:val="0"/>
        <w:numPr>
          <w:ilvl w:val="0"/>
          <w:numId w:val="2"/>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Ensuring perfect mastery of the norms of the modern Ukrainian literary language, compliance with the requirements of oral speech culture;</w:t>
      </w:r>
    </w:p>
    <w:p w14:paraId="031AA673" w14:textId="77777777" w:rsidR="00506435" w:rsidRDefault="00000000">
      <w:pPr>
        <w:widowControl w:val="0"/>
        <w:numPr>
          <w:ilvl w:val="0"/>
          <w:numId w:val="2"/>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Developing skills in the correct use of language depending on the sphere and purpose of communication;</w:t>
      </w:r>
    </w:p>
    <w:p w14:paraId="307037A2" w14:textId="77777777" w:rsidR="00506435" w:rsidRDefault="00000000">
      <w:pPr>
        <w:widowControl w:val="0"/>
        <w:numPr>
          <w:ilvl w:val="0"/>
          <w:numId w:val="2"/>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Fostering respect for the Ukrainian literary language and linguistic traditions.</w:t>
      </w:r>
    </w:p>
    <w:p w14:paraId="5C1321FC" w14:textId="77777777" w:rsidR="00506435" w:rsidRDefault="00506435">
      <w:pPr>
        <w:widowControl w:val="0"/>
        <w:spacing w:line="240" w:lineRule="auto"/>
        <w:jc w:val="both"/>
        <w:rPr>
          <w:rFonts w:ascii="Times New Roman" w:eastAsia="Times New Roman" w:hAnsi="Times New Roman" w:cs="Times New Roman"/>
          <w:b/>
          <w:bCs/>
          <w:sz w:val="28"/>
          <w:szCs w:val="28"/>
        </w:rPr>
      </w:pPr>
    </w:p>
    <w:p w14:paraId="650BB31C" w14:textId="77777777" w:rsidR="00506435"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Prerequisites for the discipline:</w:t>
      </w:r>
    </w:p>
    <w:p w14:paraId="0CE32EF6"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School course in Ukrainian language. </w:t>
      </w:r>
    </w:p>
    <w:p w14:paraId="028D5B87" w14:textId="77777777" w:rsidR="00506435" w:rsidRDefault="00506435">
      <w:pPr>
        <w:widowControl w:val="0"/>
        <w:spacing w:line="240" w:lineRule="auto"/>
        <w:jc w:val="both"/>
        <w:rPr>
          <w:rFonts w:ascii="Times New Roman" w:eastAsia="Times New Roman" w:hAnsi="Times New Roman" w:cs="Times New Roman"/>
          <w:b/>
          <w:bCs/>
          <w:sz w:val="28"/>
          <w:szCs w:val="28"/>
        </w:rPr>
      </w:pPr>
    </w:p>
    <w:p w14:paraId="03FCFA73" w14:textId="77777777" w:rsidR="00506435"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Post-requisites for the discipline:</w:t>
      </w:r>
    </w:p>
    <w:p w14:paraId="1B20CE4C"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Completed the course, students acquire knowledge, skills and abilities that will form the basis for further study, professional growth and effective communication.</w:t>
      </w:r>
    </w:p>
    <w:p w14:paraId="5496ECC6"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course “Modern Ukrainian language” provides the basis for the successful use of language knowledge in various spheres of life and contributes to the formation of students' professional, social and personal competence.</w:t>
      </w:r>
    </w:p>
    <w:p w14:paraId="3D065B35" w14:textId="77777777" w:rsidR="00506435" w:rsidRDefault="00506435">
      <w:pPr>
        <w:widowControl w:val="0"/>
        <w:spacing w:line="240" w:lineRule="auto"/>
        <w:jc w:val="both"/>
        <w:rPr>
          <w:rFonts w:ascii="Times New Roman" w:eastAsia="Times New Roman" w:hAnsi="Times New Roman" w:cs="Times New Roman"/>
          <w:b/>
          <w:bCs/>
          <w:sz w:val="28"/>
          <w:szCs w:val="28"/>
        </w:rPr>
      </w:pPr>
    </w:p>
    <w:p w14:paraId="37E5D85F" w14:textId="77777777" w:rsidR="00506435"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Program competences</w:t>
      </w:r>
    </w:p>
    <w:p w14:paraId="07AA7F5E" w14:textId="77777777" w:rsidR="00506435" w:rsidRDefault="00506435">
      <w:pPr>
        <w:widowControl w:val="0"/>
        <w:spacing w:line="240" w:lineRule="auto"/>
        <w:jc w:val="center"/>
        <w:rPr>
          <w:rFonts w:ascii="Times New Roman" w:eastAsia="Times New Roman" w:hAnsi="Times New Roman" w:cs="Times New Roman"/>
          <w:b/>
          <w:bCs/>
          <w:sz w:val="28"/>
          <w:szCs w:val="28"/>
        </w:rPr>
      </w:pPr>
    </w:p>
    <w:tbl>
      <w:tblPr>
        <w:tblStyle w:val="afd"/>
        <w:tblW w:w="963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97"/>
        <w:gridCol w:w="7342"/>
      </w:tblGrid>
      <w:tr w:rsidR="00506435" w14:paraId="3447AACE" w14:textId="77777777">
        <w:trPr>
          <w:trHeight w:val="415"/>
        </w:trPr>
        <w:tc>
          <w:tcPr>
            <w:tcW w:w="2297" w:type="dxa"/>
          </w:tcPr>
          <w:p w14:paraId="32E4FE3C" w14:textId="77777777" w:rsidR="00506435"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General competencies</w:t>
            </w:r>
          </w:p>
        </w:tc>
        <w:tc>
          <w:tcPr>
            <w:tcW w:w="7342" w:type="dxa"/>
          </w:tcPr>
          <w:p w14:paraId="15FA0968" w14:textId="77777777" w:rsidR="00506435"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GC6. Ability to communicate in the state language, both orally and in writing.</w:t>
            </w:r>
          </w:p>
        </w:tc>
      </w:tr>
      <w:tr w:rsidR="00506435" w14:paraId="03AFF026" w14:textId="77777777">
        <w:tc>
          <w:tcPr>
            <w:tcW w:w="2297" w:type="dxa"/>
          </w:tcPr>
          <w:p w14:paraId="3C707A60" w14:textId="77777777" w:rsidR="00506435"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Intended learning outcomes</w:t>
            </w:r>
          </w:p>
        </w:tc>
        <w:tc>
          <w:tcPr>
            <w:tcW w:w="7342" w:type="dxa"/>
          </w:tcPr>
          <w:p w14:paraId="42139109" w14:textId="77777777" w:rsidR="00506435"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sz w:val="28"/>
                <w:szCs w:val="28"/>
              </w:rPr>
              <w:t xml:space="preserve">ILO13. </w:t>
            </w:r>
            <w:r>
              <w:rPr>
                <w:rFonts w:ascii="Times New Roman" w:eastAsia="Times New Roman" w:hAnsi="Times New Roman" w:cs="Times New Roman"/>
                <w:color w:val="000000"/>
                <w:sz w:val="28"/>
                <w:szCs w:val="28"/>
              </w:rPr>
              <w:t>Communicate effectively in oral and written form in the state and foreign languages</w:t>
            </w:r>
            <w:r>
              <w:rPr>
                <w:rFonts w:ascii="Times New Roman" w:eastAsia="Times New Roman" w:hAnsi="Times New Roman" w:cs="Times New Roman"/>
                <w:sz w:val="28"/>
                <w:szCs w:val="28"/>
              </w:rPr>
              <w:t xml:space="preserve">. </w:t>
            </w:r>
          </w:p>
        </w:tc>
      </w:tr>
    </w:tbl>
    <w:p w14:paraId="0F9C882C" w14:textId="77777777" w:rsidR="00506435" w:rsidRDefault="00506435">
      <w:pPr>
        <w:widowControl w:val="0"/>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
    <w:p w14:paraId="0320B377" w14:textId="77777777" w:rsidR="00506435"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Content of the academic discipline</w:t>
      </w:r>
    </w:p>
    <w:tbl>
      <w:tblPr>
        <w:tblStyle w:val="afe"/>
        <w:tblpPr w:leftFromText="180" w:rightFromText="180" w:vertAnchor="text" w:tblpX="155" w:tblpY="197"/>
        <w:tblW w:w="9639" w:type="dxa"/>
        <w:tblInd w:w="0" w:type="dxa"/>
        <w:tblLayout w:type="fixed"/>
        <w:tblLook w:val="0400" w:firstRow="0" w:lastRow="0" w:firstColumn="0" w:lastColumn="0" w:noHBand="0" w:noVBand="1"/>
      </w:tblPr>
      <w:tblGrid>
        <w:gridCol w:w="1133"/>
        <w:gridCol w:w="3557"/>
        <w:gridCol w:w="667"/>
        <w:gridCol w:w="667"/>
        <w:gridCol w:w="712"/>
        <w:gridCol w:w="2903"/>
      </w:tblGrid>
      <w:tr w:rsidR="00506435" w14:paraId="136DC455" w14:textId="77777777">
        <w:trPr>
          <w:trHeight w:val="303"/>
        </w:trPr>
        <w:tc>
          <w:tcPr>
            <w:tcW w:w="1133" w:type="dxa"/>
            <w:vMerge w:val="restart"/>
            <w:tcBorders>
              <w:top w:val="single" w:sz="4" w:space="0" w:color="000000"/>
              <w:left w:val="single" w:sz="4" w:space="0" w:color="000000"/>
              <w:bottom w:val="single" w:sz="4" w:space="0" w:color="000000"/>
              <w:right w:val="single" w:sz="4" w:space="0" w:color="000000"/>
            </w:tcBorders>
            <w:vAlign w:val="center"/>
          </w:tcPr>
          <w:p w14:paraId="1891878B"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w:t>
            </w:r>
          </w:p>
        </w:tc>
        <w:tc>
          <w:tcPr>
            <w:tcW w:w="3557" w:type="dxa"/>
            <w:vMerge w:val="restart"/>
            <w:tcBorders>
              <w:top w:val="single" w:sz="4" w:space="0" w:color="000000"/>
              <w:left w:val="single" w:sz="4" w:space="0" w:color="000000"/>
              <w:bottom w:val="single" w:sz="4" w:space="0" w:color="000000"/>
              <w:right w:val="single" w:sz="4" w:space="0" w:color="000000"/>
            </w:tcBorders>
            <w:vAlign w:val="center"/>
          </w:tcPr>
          <w:p w14:paraId="22099287"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Topics</w:t>
            </w:r>
          </w:p>
        </w:tc>
        <w:tc>
          <w:tcPr>
            <w:tcW w:w="4949" w:type="dxa"/>
            <w:gridSpan w:val="4"/>
            <w:tcBorders>
              <w:top w:val="single" w:sz="4" w:space="0" w:color="000000"/>
              <w:left w:val="single" w:sz="4" w:space="0" w:color="000000"/>
              <w:bottom w:val="single" w:sz="4" w:space="0" w:color="000000"/>
              <w:right w:val="single" w:sz="4" w:space="0" w:color="000000"/>
            </w:tcBorders>
            <w:vAlign w:val="center"/>
          </w:tcPr>
          <w:p w14:paraId="644703E8" w14:textId="77777777" w:rsidR="00506435"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4"/>
                <w:szCs w:val="24"/>
              </w:rPr>
              <w:t xml:space="preserve">Number of hours, of </w:t>
            </w:r>
            <w:proofErr w:type="gramStart"/>
            <w:r>
              <w:rPr>
                <w:rFonts w:ascii="Times New Roman" w:eastAsia="Times New Roman" w:hAnsi="Times New Roman" w:cs="Times New Roman"/>
                <w:b/>
                <w:bCs/>
                <w:sz w:val="24"/>
                <w:szCs w:val="24"/>
              </w:rPr>
              <w:t>which :</w:t>
            </w:r>
            <w:proofErr w:type="gramEnd"/>
          </w:p>
        </w:tc>
      </w:tr>
      <w:tr w:rsidR="00506435" w14:paraId="58C59935" w14:textId="77777777">
        <w:trPr>
          <w:trHeight w:val="1376"/>
        </w:trPr>
        <w:tc>
          <w:tcPr>
            <w:tcW w:w="1133" w:type="dxa"/>
            <w:vMerge/>
            <w:tcBorders>
              <w:top w:val="single" w:sz="4" w:space="0" w:color="000000"/>
              <w:left w:val="single" w:sz="4" w:space="0" w:color="000000"/>
              <w:bottom w:val="single" w:sz="4" w:space="0" w:color="000000"/>
              <w:right w:val="single" w:sz="4" w:space="0" w:color="000000"/>
            </w:tcBorders>
            <w:vAlign w:val="center"/>
          </w:tcPr>
          <w:p w14:paraId="7511BDAD"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b/>
                <w:bCs/>
                <w:sz w:val="28"/>
                <w:szCs w:val="28"/>
              </w:rPr>
            </w:pPr>
          </w:p>
        </w:tc>
        <w:tc>
          <w:tcPr>
            <w:tcW w:w="3557" w:type="dxa"/>
            <w:vMerge/>
            <w:tcBorders>
              <w:top w:val="single" w:sz="4" w:space="0" w:color="000000"/>
              <w:left w:val="single" w:sz="4" w:space="0" w:color="000000"/>
              <w:bottom w:val="single" w:sz="4" w:space="0" w:color="000000"/>
              <w:right w:val="single" w:sz="4" w:space="0" w:color="000000"/>
            </w:tcBorders>
            <w:vAlign w:val="center"/>
          </w:tcPr>
          <w:p w14:paraId="44A69D05"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b/>
                <w:bCs/>
                <w:sz w:val="28"/>
                <w:szCs w:val="28"/>
              </w:rPr>
            </w:pPr>
          </w:p>
        </w:tc>
        <w:tc>
          <w:tcPr>
            <w:tcW w:w="667" w:type="dxa"/>
            <w:tcBorders>
              <w:top w:val="single" w:sz="4" w:space="0" w:color="000000"/>
              <w:left w:val="single" w:sz="4" w:space="0" w:color="000000"/>
              <w:bottom w:val="single" w:sz="4" w:space="0" w:color="000000"/>
              <w:right w:val="single" w:sz="4" w:space="0" w:color="000000"/>
            </w:tcBorders>
            <w:vAlign w:val="center"/>
          </w:tcPr>
          <w:p w14:paraId="46E2965E" w14:textId="77777777" w:rsidR="00506435" w:rsidRDefault="00000000">
            <w:pPr>
              <w:widowControl w:val="0"/>
              <w:tabs>
                <w:tab w:val="center" w:pos="4153"/>
                <w:tab w:val="center" w:pos="4677"/>
                <w:tab w:val="right" w:pos="8306"/>
                <w:tab w:val="right" w:pos="9355"/>
              </w:tabs>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Lectures</w:t>
            </w:r>
          </w:p>
        </w:tc>
        <w:tc>
          <w:tcPr>
            <w:tcW w:w="667" w:type="dxa"/>
            <w:tcBorders>
              <w:top w:val="single" w:sz="4" w:space="0" w:color="000000"/>
              <w:left w:val="single" w:sz="4" w:space="0" w:color="000000"/>
              <w:bottom w:val="single" w:sz="4" w:space="0" w:color="000000"/>
            </w:tcBorders>
            <w:vAlign w:val="center"/>
          </w:tcPr>
          <w:p w14:paraId="7DAF6DE9" w14:textId="77777777" w:rsidR="00506435"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4"/>
                <w:szCs w:val="24"/>
              </w:rPr>
              <w:t>Seminars</w:t>
            </w:r>
          </w:p>
        </w:tc>
        <w:tc>
          <w:tcPr>
            <w:tcW w:w="712" w:type="dxa"/>
            <w:tcBorders>
              <w:top w:val="single" w:sz="4" w:space="0" w:color="000000"/>
              <w:left w:val="single" w:sz="4" w:space="0" w:color="000000"/>
              <w:bottom w:val="single" w:sz="4" w:space="0" w:color="000000"/>
            </w:tcBorders>
            <w:vAlign w:val="center"/>
          </w:tcPr>
          <w:p w14:paraId="4E1874B6" w14:textId="77777777" w:rsidR="00506435" w:rsidRDefault="00000000">
            <w:pPr>
              <w:widowControl w:val="0"/>
              <w:tabs>
                <w:tab w:val="center" w:pos="4153"/>
                <w:tab w:val="center" w:pos="4677"/>
                <w:tab w:val="right" w:pos="8306"/>
                <w:tab w:val="right" w:pos="9355"/>
              </w:tabs>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Independent work</w:t>
            </w:r>
          </w:p>
        </w:tc>
        <w:tc>
          <w:tcPr>
            <w:tcW w:w="2903" w:type="dxa"/>
            <w:tcBorders>
              <w:top w:val="single" w:sz="4" w:space="0" w:color="000000"/>
              <w:left w:val="single" w:sz="4" w:space="0" w:color="000000"/>
              <w:bottom w:val="single" w:sz="4" w:space="0" w:color="000000"/>
              <w:right w:val="single" w:sz="4" w:space="0" w:color="000000"/>
            </w:tcBorders>
            <w:vAlign w:val="center"/>
          </w:tcPr>
          <w:p w14:paraId="1B4247B5" w14:textId="77777777" w:rsidR="00506435" w:rsidRDefault="00000000">
            <w:pPr>
              <w:widowControl w:val="0"/>
              <w:tabs>
                <w:tab w:val="center" w:pos="4153"/>
                <w:tab w:val="center" w:pos="4677"/>
                <w:tab w:val="right" w:pos="8306"/>
                <w:tab w:val="right" w:pos="9355"/>
              </w:tabs>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Teaching methods /assessment methods</w:t>
            </w:r>
          </w:p>
        </w:tc>
      </w:tr>
      <w:tr w:rsidR="00506435" w14:paraId="40D942E5" w14:textId="77777777">
        <w:trPr>
          <w:trHeight w:val="973"/>
        </w:trPr>
        <w:tc>
          <w:tcPr>
            <w:tcW w:w="6736" w:type="dxa"/>
            <w:gridSpan w:val="5"/>
            <w:tcBorders>
              <w:top w:val="single" w:sz="4" w:space="0" w:color="000000"/>
              <w:left w:val="single" w:sz="4" w:space="0" w:color="000000"/>
              <w:bottom w:val="single" w:sz="4" w:space="0" w:color="000000"/>
            </w:tcBorders>
          </w:tcPr>
          <w:p w14:paraId="2F9377C6" w14:textId="77777777" w:rsidR="00506435"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w:t>
            </w:r>
            <w:r>
              <w:rPr>
                <w:rFonts w:ascii="Times New Roman" w:eastAsia="Times New Roman" w:hAnsi="Times New Roman" w:cs="Times New Roman"/>
                <w:b/>
                <w:bCs/>
                <w:sz w:val="28"/>
                <w:szCs w:val="28"/>
                <w:vertAlign w:val="superscript"/>
              </w:rPr>
              <w:t>st</w:t>
            </w:r>
            <w:r>
              <w:rPr>
                <w:rFonts w:ascii="Times New Roman" w:eastAsia="Times New Roman" w:hAnsi="Times New Roman" w:cs="Times New Roman"/>
                <w:b/>
                <w:bCs/>
                <w:sz w:val="28"/>
                <w:szCs w:val="28"/>
              </w:rPr>
              <w:t xml:space="preserve"> semester</w:t>
            </w:r>
          </w:p>
          <w:p w14:paraId="4766A186"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Content module 1. Normative and stylistic foundations of the modern Ukrainian language</w:t>
            </w:r>
          </w:p>
        </w:tc>
        <w:tc>
          <w:tcPr>
            <w:tcW w:w="2903" w:type="dxa"/>
            <w:vMerge w:val="restart"/>
            <w:tcBorders>
              <w:top w:val="single" w:sz="4" w:space="0" w:color="000000"/>
              <w:left w:val="single" w:sz="4" w:space="0" w:color="000000"/>
              <w:right w:val="single" w:sz="4" w:space="0" w:color="000000"/>
            </w:tcBorders>
          </w:tcPr>
          <w:p w14:paraId="474F6D2B" w14:textId="77777777" w:rsidR="00506435" w:rsidRDefault="00000000">
            <w:pPr>
              <w:widowControl w:val="0"/>
              <w:spacing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Teaching methods: </w:t>
            </w:r>
            <w:r>
              <w:rPr>
                <w:rFonts w:ascii="Times New Roman" w:eastAsia="Times New Roman" w:hAnsi="Times New Roman" w:cs="Times New Roman"/>
                <w:sz w:val="24"/>
                <w:szCs w:val="24"/>
              </w:rPr>
              <w:t xml:space="preserve">verbal (lecture; conversation; educational discussion); inductive method; deductive method; </w:t>
            </w:r>
            <w:proofErr w:type="spellStart"/>
            <w:r>
              <w:rPr>
                <w:rFonts w:ascii="Times New Roman" w:eastAsia="Times New Roman" w:hAnsi="Times New Roman" w:cs="Times New Roman"/>
                <w:sz w:val="24"/>
                <w:szCs w:val="24"/>
              </w:rPr>
              <w:t>tradutive</w:t>
            </w:r>
            <w:proofErr w:type="spellEnd"/>
            <w:r>
              <w:rPr>
                <w:rFonts w:ascii="Times New Roman" w:eastAsia="Times New Roman" w:hAnsi="Times New Roman" w:cs="Times New Roman"/>
                <w:sz w:val="24"/>
                <w:szCs w:val="24"/>
              </w:rPr>
              <w:t xml:space="preserve"> method; analytical; synthetic; practical (working with legal case studies); explanatory-illustrative; reproductive; problem-based teaching method; partial-search; 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4D1BDC25" w14:textId="77777777" w:rsidR="00506435" w:rsidRDefault="00000000">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Assessment methods: </w:t>
            </w:r>
            <w:r>
              <w:rPr>
                <w:rFonts w:ascii="Times New Roman" w:eastAsia="Times New Roman" w:hAnsi="Times New Roman" w:cs="Times New Roman"/>
                <w:sz w:val="24"/>
                <w:szCs w:val="24"/>
              </w:rPr>
              <w:t>oral assessment (oral questioning, assessment of participation in discussions and other interactive teaching methods); written assessment (tests, independent work, essays</w:t>
            </w:r>
            <w:proofErr w:type="gramStart"/>
            <w:r>
              <w:rPr>
                <w:rFonts w:ascii="Times New Roman" w:eastAsia="Times New Roman" w:hAnsi="Times New Roman" w:cs="Times New Roman"/>
                <w:sz w:val="24"/>
                <w:szCs w:val="24"/>
              </w:rPr>
              <w:t>);  test</w:t>
            </w:r>
            <w:proofErr w:type="gramEnd"/>
            <w:r>
              <w:rPr>
                <w:rFonts w:ascii="Times New Roman" w:eastAsia="Times New Roman" w:hAnsi="Times New Roman" w:cs="Times New Roman"/>
                <w:sz w:val="24"/>
                <w:szCs w:val="24"/>
              </w:rPr>
              <w:t xml:space="preserve"> assessment (closed-form tests: multiple-choice tests, matching tests); self-assessment and self-evaluation methods; assessment of case studies.</w:t>
            </w:r>
          </w:p>
        </w:tc>
      </w:tr>
      <w:tr w:rsidR="00506435" w14:paraId="1C175F14" w14:textId="77777777">
        <w:trPr>
          <w:trHeight w:val="871"/>
        </w:trPr>
        <w:tc>
          <w:tcPr>
            <w:tcW w:w="1133" w:type="dxa"/>
            <w:tcBorders>
              <w:top w:val="single" w:sz="4" w:space="0" w:color="000000"/>
              <w:left w:val="single" w:sz="4" w:space="0" w:color="000000"/>
              <w:bottom w:val="single" w:sz="4" w:space="0" w:color="000000"/>
              <w:right w:val="single" w:sz="4" w:space="0" w:color="000000"/>
            </w:tcBorders>
          </w:tcPr>
          <w:p w14:paraId="69E821A8"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w:t>
            </w:r>
          </w:p>
        </w:tc>
        <w:tc>
          <w:tcPr>
            <w:tcW w:w="3557" w:type="dxa"/>
            <w:tcBorders>
              <w:top w:val="single" w:sz="4" w:space="0" w:color="000000"/>
              <w:left w:val="single" w:sz="4" w:space="0" w:color="000000"/>
              <w:bottom w:val="single" w:sz="4" w:space="0" w:color="000000"/>
              <w:right w:val="single" w:sz="4" w:space="0" w:color="000000"/>
            </w:tcBorders>
          </w:tcPr>
          <w:p w14:paraId="09601B67"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Introduction. Ukrainian is the national language of the Ukrainian people and the official language of Ukraine.</w:t>
            </w:r>
          </w:p>
        </w:tc>
        <w:tc>
          <w:tcPr>
            <w:tcW w:w="667" w:type="dxa"/>
            <w:tcBorders>
              <w:top w:val="single" w:sz="4" w:space="0" w:color="000000"/>
              <w:left w:val="single" w:sz="4" w:space="0" w:color="000000"/>
              <w:bottom w:val="single" w:sz="4" w:space="0" w:color="000000"/>
              <w:right w:val="single" w:sz="4" w:space="0" w:color="000000"/>
            </w:tcBorders>
          </w:tcPr>
          <w:p w14:paraId="4707EB13"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bottom w:val="single" w:sz="4" w:space="0" w:color="000000"/>
            </w:tcBorders>
          </w:tcPr>
          <w:p w14:paraId="15D21BA3"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bottom w:val="single" w:sz="4" w:space="0" w:color="000000"/>
            </w:tcBorders>
          </w:tcPr>
          <w:p w14:paraId="387AE6A0"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5DEE5A9F"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4B3A20C8" w14:textId="77777777">
        <w:trPr>
          <w:trHeight w:val="698"/>
        </w:trPr>
        <w:tc>
          <w:tcPr>
            <w:tcW w:w="1133" w:type="dxa"/>
            <w:tcBorders>
              <w:top w:val="single" w:sz="4" w:space="0" w:color="000000"/>
              <w:left w:val="single" w:sz="4" w:space="0" w:color="000000"/>
              <w:bottom w:val="single" w:sz="4" w:space="0" w:color="000000"/>
              <w:right w:val="single" w:sz="4" w:space="0" w:color="000000"/>
            </w:tcBorders>
          </w:tcPr>
          <w:p w14:paraId="47A74986"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3557" w:type="dxa"/>
            <w:tcBorders>
              <w:top w:val="single" w:sz="4" w:space="0" w:color="000000"/>
              <w:left w:val="single" w:sz="4" w:space="0" w:color="000000"/>
              <w:bottom w:val="single" w:sz="4" w:space="0" w:color="000000"/>
              <w:right w:val="single" w:sz="4" w:space="0" w:color="000000"/>
            </w:tcBorders>
          </w:tcPr>
          <w:p w14:paraId="77BC698D"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Styles of modern Ukrainian literary language</w:t>
            </w:r>
          </w:p>
        </w:tc>
        <w:tc>
          <w:tcPr>
            <w:tcW w:w="667" w:type="dxa"/>
            <w:tcBorders>
              <w:top w:val="single" w:sz="4" w:space="0" w:color="000000"/>
              <w:left w:val="single" w:sz="4" w:space="0" w:color="000000"/>
              <w:bottom w:val="single" w:sz="4" w:space="0" w:color="000000"/>
              <w:right w:val="single" w:sz="4" w:space="0" w:color="000000"/>
            </w:tcBorders>
          </w:tcPr>
          <w:p w14:paraId="122A3831"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bottom w:val="single" w:sz="4" w:space="0" w:color="000000"/>
            </w:tcBorders>
          </w:tcPr>
          <w:p w14:paraId="78BA6DE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bottom w:val="single" w:sz="4" w:space="0" w:color="000000"/>
            </w:tcBorders>
          </w:tcPr>
          <w:p w14:paraId="23179A1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5B7FA718"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3EF8A6B3" w14:textId="77777777">
        <w:trPr>
          <w:trHeight w:val="709"/>
        </w:trPr>
        <w:tc>
          <w:tcPr>
            <w:tcW w:w="1133" w:type="dxa"/>
            <w:tcBorders>
              <w:top w:val="single" w:sz="4" w:space="0" w:color="000000"/>
              <w:left w:val="single" w:sz="4" w:space="0" w:color="000000"/>
              <w:bottom w:val="single" w:sz="4" w:space="0" w:color="000000"/>
              <w:right w:val="single" w:sz="4" w:space="0" w:color="000000"/>
            </w:tcBorders>
          </w:tcPr>
          <w:p w14:paraId="10086310"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3557" w:type="dxa"/>
            <w:tcBorders>
              <w:top w:val="single" w:sz="4" w:space="0" w:color="000000"/>
              <w:left w:val="single" w:sz="4" w:space="0" w:color="000000"/>
              <w:bottom w:val="single" w:sz="4" w:space="0" w:color="000000"/>
              <w:right w:val="single" w:sz="4" w:space="0" w:color="000000"/>
            </w:tcBorders>
          </w:tcPr>
          <w:p w14:paraId="2CCD1E74"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Norms of modern Ukrainian literary language. Lexical norms and phraseological means.</w:t>
            </w:r>
          </w:p>
        </w:tc>
        <w:tc>
          <w:tcPr>
            <w:tcW w:w="667" w:type="dxa"/>
            <w:tcBorders>
              <w:top w:val="single" w:sz="4" w:space="0" w:color="000000"/>
              <w:left w:val="single" w:sz="4" w:space="0" w:color="000000"/>
              <w:bottom w:val="single" w:sz="4" w:space="0" w:color="000000"/>
              <w:right w:val="single" w:sz="4" w:space="0" w:color="000000"/>
            </w:tcBorders>
          </w:tcPr>
          <w:p w14:paraId="5416001C"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667" w:type="dxa"/>
            <w:tcBorders>
              <w:top w:val="single" w:sz="4" w:space="0" w:color="000000"/>
              <w:left w:val="single" w:sz="4" w:space="0" w:color="000000"/>
              <w:bottom w:val="single" w:sz="4" w:space="0" w:color="000000"/>
            </w:tcBorders>
          </w:tcPr>
          <w:p w14:paraId="6B0F264F"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bottom w:val="single" w:sz="4" w:space="0" w:color="000000"/>
            </w:tcBorders>
          </w:tcPr>
          <w:p w14:paraId="3F3D935E"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903" w:type="dxa"/>
            <w:vMerge/>
            <w:tcBorders>
              <w:top w:val="single" w:sz="4" w:space="0" w:color="000000"/>
              <w:left w:val="single" w:sz="4" w:space="0" w:color="000000"/>
              <w:right w:val="single" w:sz="4" w:space="0" w:color="000000"/>
            </w:tcBorders>
          </w:tcPr>
          <w:p w14:paraId="384B61EE"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2CC4DFE5" w14:textId="77777777">
        <w:trPr>
          <w:trHeight w:val="325"/>
        </w:trPr>
        <w:tc>
          <w:tcPr>
            <w:tcW w:w="1133" w:type="dxa"/>
            <w:tcBorders>
              <w:top w:val="single" w:sz="4" w:space="0" w:color="000000"/>
              <w:left w:val="single" w:sz="4" w:space="0" w:color="000000"/>
              <w:bottom w:val="single" w:sz="4" w:space="0" w:color="000000"/>
              <w:right w:val="single" w:sz="4" w:space="0" w:color="000000"/>
            </w:tcBorders>
          </w:tcPr>
          <w:p w14:paraId="6420068E"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3557" w:type="dxa"/>
            <w:tcBorders>
              <w:top w:val="single" w:sz="4" w:space="0" w:color="000000"/>
              <w:left w:val="single" w:sz="4" w:space="0" w:color="000000"/>
              <w:bottom w:val="single" w:sz="4" w:space="0" w:color="000000"/>
              <w:right w:val="single" w:sz="4" w:space="0" w:color="000000"/>
            </w:tcBorders>
          </w:tcPr>
          <w:p w14:paraId="3BA85425"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Morphological norms of modern Ukrainian language</w:t>
            </w:r>
          </w:p>
        </w:tc>
        <w:tc>
          <w:tcPr>
            <w:tcW w:w="667" w:type="dxa"/>
            <w:tcBorders>
              <w:top w:val="single" w:sz="4" w:space="0" w:color="000000"/>
              <w:left w:val="single" w:sz="4" w:space="0" w:color="000000"/>
              <w:bottom w:val="single" w:sz="4" w:space="0" w:color="000000"/>
              <w:right w:val="single" w:sz="4" w:space="0" w:color="000000"/>
            </w:tcBorders>
          </w:tcPr>
          <w:p w14:paraId="43B0F21F"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bottom w:val="single" w:sz="4" w:space="0" w:color="000000"/>
            </w:tcBorders>
          </w:tcPr>
          <w:p w14:paraId="76457191"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bottom w:val="single" w:sz="4" w:space="0" w:color="000000"/>
            </w:tcBorders>
          </w:tcPr>
          <w:p w14:paraId="6122AD80"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0A670203"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255643FF" w14:textId="77777777">
        <w:trPr>
          <w:trHeight w:val="631"/>
        </w:trPr>
        <w:tc>
          <w:tcPr>
            <w:tcW w:w="1133" w:type="dxa"/>
            <w:tcBorders>
              <w:top w:val="single" w:sz="4" w:space="0" w:color="000000"/>
              <w:left w:val="single" w:sz="4" w:space="0" w:color="000000"/>
              <w:bottom w:val="single" w:sz="4" w:space="0" w:color="000000"/>
              <w:right w:val="single" w:sz="4" w:space="0" w:color="000000"/>
            </w:tcBorders>
          </w:tcPr>
          <w:p w14:paraId="17CE0D84"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3557" w:type="dxa"/>
            <w:tcBorders>
              <w:top w:val="single" w:sz="4" w:space="0" w:color="000000"/>
              <w:left w:val="single" w:sz="4" w:space="0" w:color="000000"/>
              <w:bottom w:val="single" w:sz="4" w:space="0" w:color="000000"/>
              <w:right w:val="single" w:sz="4" w:space="0" w:color="000000"/>
            </w:tcBorders>
          </w:tcPr>
          <w:p w14:paraId="56E932B4"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Orthographic norms of modern Ukrainian language</w:t>
            </w:r>
          </w:p>
        </w:tc>
        <w:tc>
          <w:tcPr>
            <w:tcW w:w="667" w:type="dxa"/>
            <w:tcBorders>
              <w:top w:val="single" w:sz="4" w:space="0" w:color="000000"/>
              <w:left w:val="single" w:sz="4" w:space="0" w:color="000000"/>
              <w:bottom w:val="single" w:sz="4" w:space="0" w:color="000000"/>
              <w:right w:val="single" w:sz="4" w:space="0" w:color="000000"/>
            </w:tcBorders>
          </w:tcPr>
          <w:p w14:paraId="4B4B149B"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bottom w:val="single" w:sz="4" w:space="0" w:color="000000"/>
            </w:tcBorders>
          </w:tcPr>
          <w:p w14:paraId="1A6269C2"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712" w:type="dxa"/>
            <w:tcBorders>
              <w:top w:val="single" w:sz="4" w:space="0" w:color="000000"/>
              <w:left w:val="single" w:sz="4" w:space="0" w:color="000000"/>
              <w:bottom w:val="single" w:sz="4" w:space="0" w:color="000000"/>
            </w:tcBorders>
          </w:tcPr>
          <w:p w14:paraId="4C7FFD16"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651D0503"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0BFBF01C" w14:textId="77777777">
        <w:trPr>
          <w:trHeight w:val="569"/>
        </w:trPr>
        <w:tc>
          <w:tcPr>
            <w:tcW w:w="1133" w:type="dxa"/>
            <w:tcBorders>
              <w:top w:val="single" w:sz="4" w:space="0" w:color="000000"/>
              <w:left w:val="single" w:sz="4" w:space="0" w:color="000000"/>
              <w:right w:val="single" w:sz="4" w:space="0" w:color="000000"/>
            </w:tcBorders>
          </w:tcPr>
          <w:p w14:paraId="797B436F"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3557" w:type="dxa"/>
            <w:tcBorders>
              <w:top w:val="single" w:sz="4" w:space="0" w:color="000000"/>
              <w:left w:val="single" w:sz="4" w:space="0" w:color="000000"/>
              <w:right w:val="single" w:sz="4" w:space="0" w:color="000000"/>
            </w:tcBorders>
          </w:tcPr>
          <w:p w14:paraId="08D6E334"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Syntactic norms of modern Ukrainian language</w:t>
            </w:r>
          </w:p>
        </w:tc>
        <w:tc>
          <w:tcPr>
            <w:tcW w:w="667" w:type="dxa"/>
            <w:tcBorders>
              <w:top w:val="single" w:sz="4" w:space="0" w:color="000000"/>
              <w:left w:val="single" w:sz="4" w:space="0" w:color="000000"/>
              <w:right w:val="single" w:sz="4" w:space="0" w:color="000000"/>
            </w:tcBorders>
          </w:tcPr>
          <w:p w14:paraId="36D6E854"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tcBorders>
          </w:tcPr>
          <w:p w14:paraId="6D9BBF52"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tcBorders>
          </w:tcPr>
          <w:p w14:paraId="0B07A0B5"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3EACF33B"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6E439EDD" w14:textId="77777777">
        <w:trPr>
          <w:trHeight w:val="369"/>
        </w:trPr>
        <w:tc>
          <w:tcPr>
            <w:tcW w:w="6736" w:type="dxa"/>
            <w:gridSpan w:val="5"/>
            <w:tcBorders>
              <w:top w:val="single" w:sz="4" w:space="0" w:color="000000"/>
              <w:left w:val="single" w:sz="4" w:space="0" w:color="000000"/>
              <w:bottom w:val="single" w:sz="4" w:space="0" w:color="000000"/>
            </w:tcBorders>
          </w:tcPr>
          <w:p w14:paraId="5B371532"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Content module 2. Culture of oral speech</w:t>
            </w:r>
          </w:p>
        </w:tc>
        <w:tc>
          <w:tcPr>
            <w:tcW w:w="2903" w:type="dxa"/>
            <w:vMerge/>
            <w:tcBorders>
              <w:top w:val="single" w:sz="4" w:space="0" w:color="000000"/>
              <w:left w:val="single" w:sz="4" w:space="0" w:color="000000"/>
              <w:right w:val="single" w:sz="4" w:space="0" w:color="000000"/>
            </w:tcBorders>
          </w:tcPr>
          <w:p w14:paraId="6B3513C0"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79D4AEF0" w14:textId="77777777">
        <w:trPr>
          <w:trHeight w:val="741"/>
        </w:trPr>
        <w:tc>
          <w:tcPr>
            <w:tcW w:w="1133" w:type="dxa"/>
            <w:tcBorders>
              <w:top w:val="single" w:sz="4" w:space="0" w:color="000000"/>
              <w:left w:val="single" w:sz="4" w:space="0" w:color="000000"/>
              <w:bottom w:val="single" w:sz="4" w:space="0" w:color="000000"/>
              <w:right w:val="single" w:sz="4" w:space="0" w:color="000000"/>
            </w:tcBorders>
          </w:tcPr>
          <w:p w14:paraId="333276B4"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Topic 7. </w:t>
            </w:r>
          </w:p>
        </w:tc>
        <w:tc>
          <w:tcPr>
            <w:tcW w:w="3557" w:type="dxa"/>
            <w:tcBorders>
              <w:top w:val="single" w:sz="4" w:space="0" w:color="000000"/>
              <w:left w:val="single" w:sz="4" w:space="0" w:color="000000"/>
              <w:bottom w:val="single" w:sz="4" w:space="0" w:color="000000"/>
              <w:right w:val="single" w:sz="4" w:space="0" w:color="000000"/>
            </w:tcBorders>
          </w:tcPr>
          <w:p w14:paraId="320098F4"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Orthoepic and accentuation norms of the modern Ukrainian language.</w:t>
            </w:r>
          </w:p>
        </w:tc>
        <w:tc>
          <w:tcPr>
            <w:tcW w:w="667" w:type="dxa"/>
            <w:tcBorders>
              <w:top w:val="single" w:sz="4" w:space="0" w:color="000000"/>
              <w:left w:val="single" w:sz="4" w:space="0" w:color="000000"/>
              <w:bottom w:val="single" w:sz="4" w:space="0" w:color="000000"/>
              <w:right w:val="single" w:sz="4" w:space="0" w:color="000000"/>
            </w:tcBorders>
          </w:tcPr>
          <w:p w14:paraId="5BF8A001"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bottom w:val="single" w:sz="4" w:space="0" w:color="000000"/>
            </w:tcBorders>
          </w:tcPr>
          <w:p w14:paraId="6C1F3E9F"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bottom w:val="single" w:sz="4" w:space="0" w:color="000000"/>
            </w:tcBorders>
          </w:tcPr>
          <w:p w14:paraId="05B2480F"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23832950"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064F1EF0" w14:textId="77777777">
        <w:trPr>
          <w:trHeight w:val="695"/>
        </w:trPr>
        <w:tc>
          <w:tcPr>
            <w:tcW w:w="1133" w:type="dxa"/>
            <w:tcBorders>
              <w:top w:val="single" w:sz="4" w:space="0" w:color="000000"/>
              <w:left w:val="single" w:sz="4" w:space="0" w:color="000000"/>
              <w:bottom w:val="single" w:sz="4" w:space="0" w:color="000000"/>
              <w:right w:val="single" w:sz="4" w:space="0" w:color="000000"/>
            </w:tcBorders>
          </w:tcPr>
          <w:p w14:paraId="6F4814F6"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3557" w:type="dxa"/>
            <w:tcBorders>
              <w:top w:val="single" w:sz="4" w:space="0" w:color="000000"/>
              <w:left w:val="single" w:sz="4" w:space="0" w:color="000000"/>
              <w:bottom w:val="single" w:sz="4" w:space="0" w:color="000000"/>
              <w:right w:val="single" w:sz="4" w:space="0" w:color="000000"/>
            </w:tcBorders>
          </w:tcPr>
          <w:p w14:paraId="3B59113C"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Ukrainian speech etiquette</w:t>
            </w:r>
          </w:p>
        </w:tc>
        <w:tc>
          <w:tcPr>
            <w:tcW w:w="667" w:type="dxa"/>
            <w:tcBorders>
              <w:top w:val="single" w:sz="4" w:space="0" w:color="000000"/>
              <w:left w:val="single" w:sz="4" w:space="0" w:color="000000"/>
              <w:bottom w:val="single" w:sz="4" w:space="0" w:color="000000"/>
              <w:right w:val="single" w:sz="4" w:space="0" w:color="000000"/>
            </w:tcBorders>
          </w:tcPr>
          <w:p w14:paraId="62F70BF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bottom w:val="single" w:sz="4" w:space="0" w:color="000000"/>
            </w:tcBorders>
          </w:tcPr>
          <w:p w14:paraId="3A936637"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bottom w:val="single" w:sz="4" w:space="0" w:color="000000"/>
            </w:tcBorders>
          </w:tcPr>
          <w:p w14:paraId="43C51124"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7A2F5EA7"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68C5195B" w14:textId="77777777">
        <w:trPr>
          <w:trHeight w:val="908"/>
        </w:trPr>
        <w:tc>
          <w:tcPr>
            <w:tcW w:w="1133" w:type="dxa"/>
            <w:tcBorders>
              <w:top w:val="single" w:sz="4" w:space="0" w:color="000000"/>
              <w:left w:val="single" w:sz="4" w:space="0" w:color="000000"/>
              <w:bottom w:val="single" w:sz="4" w:space="0" w:color="000000"/>
              <w:right w:val="single" w:sz="4" w:space="0" w:color="000000"/>
            </w:tcBorders>
          </w:tcPr>
          <w:p w14:paraId="246290D1"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3557" w:type="dxa"/>
            <w:tcBorders>
              <w:top w:val="single" w:sz="4" w:space="0" w:color="000000"/>
              <w:left w:val="single" w:sz="4" w:space="0" w:color="000000"/>
              <w:bottom w:val="single" w:sz="4" w:space="0" w:color="000000"/>
              <w:right w:val="single" w:sz="4" w:space="0" w:color="000000"/>
            </w:tcBorders>
          </w:tcPr>
          <w:p w14:paraId="745A5B2B"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Conversation and telephone conversation as types of oral communication</w:t>
            </w:r>
          </w:p>
        </w:tc>
        <w:tc>
          <w:tcPr>
            <w:tcW w:w="667" w:type="dxa"/>
            <w:tcBorders>
              <w:top w:val="single" w:sz="4" w:space="0" w:color="000000"/>
              <w:left w:val="single" w:sz="4" w:space="0" w:color="000000"/>
              <w:bottom w:val="single" w:sz="4" w:space="0" w:color="000000"/>
              <w:right w:val="single" w:sz="4" w:space="0" w:color="000000"/>
            </w:tcBorders>
          </w:tcPr>
          <w:p w14:paraId="49687822"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bottom w:val="single" w:sz="4" w:space="0" w:color="000000"/>
            </w:tcBorders>
          </w:tcPr>
          <w:p w14:paraId="47D57F67"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bottom w:val="single" w:sz="4" w:space="0" w:color="000000"/>
            </w:tcBorders>
          </w:tcPr>
          <w:p w14:paraId="64855E18"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903" w:type="dxa"/>
            <w:vMerge/>
            <w:tcBorders>
              <w:top w:val="single" w:sz="4" w:space="0" w:color="000000"/>
              <w:left w:val="single" w:sz="4" w:space="0" w:color="000000"/>
              <w:right w:val="single" w:sz="4" w:space="0" w:color="000000"/>
            </w:tcBorders>
          </w:tcPr>
          <w:p w14:paraId="6B77AA17"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19DD19CA" w14:textId="77777777">
        <w:trPr>
          <w:trHeight w:val="905"/>
        </w:trPr>
        <w:tc>
          <w:tcPr>
            <w:tcW w:w="1133" w:type="dxa"/>
            <w:tcBorders>
              <w:top w:val="single" w:sz="4" w:space="0" w:color="000000"/>
              <w:left w:val="single" w:sz="4" w:space="0" w:color="000000"/>
              <w:bottom w:val="single" w:sz="4" w:space="0" w:color="000000"/>
              <w:right w:val="single" w:sz="4" w:space="0" w:color="000000"/>
            </w:tcBorders>
          </w:tcPr>
          <w:p w14:paraId="6C6AB290"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3557" w:type="dxa"/>
            <w:tcBorders>
              <w:top w:val="single" w:sz="4" w:space="0" w:color="000000"/>
              <w:left w:val="single" w:sz="4" w:space="0" w:color="000000"/>
              <w:bottom w:val="single" w:sz="4" w:space="0" w:color="000000"/>
              <w:right w:val="single" w:sz="4" w:space="0" w:color="000000"/>
            </w:tcBorders>
          </w:tcPr>
          <w:p w14:paraId="54513DD7"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culture of discursive and polemical language.</w:t>
            </w:r>
          </w:p>
        </w:tc>
        <w:tc>
          <w:tcPr>
            <w:tcW w:w="667" w:type="dxa"/>
            <w:tcBorders>
              <w:top w:val="single" w:sz="4" w:space="0" w:color="000000"/>
              <w:left w:val="single" w:sz="4" w:space="0" w:color="000000"/>
              <w:bottom w:val="single" w:sz="4" w:space="0" w:color="000000"/>
              <w:right w:val="single" w:sz="4" w:space="0" w:color="000000"/>
            </w:tcBorders>
          </w:tcPr>
          <w:p w14:paraId="4BBE40F0"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bottom w:val="single" w:sz="4" w:space="0" w:color="000000"/>
            </w:tcBorders>
          </w:tcPr>
          <w:p w14:paraId="5CCE1D3D"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bottom w:val="single" w:sz="4" w:space="0" w:color="000000"/>
            </w:tcBorders>
          </w:tcPr>
          <w:p w14:paraId="6A449622"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6440828C"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0874E18C" w14:textId="77777777">
        <w:trPr>
          <w:trHeight w:val="777"/>
        </w:trPr>
        <w:tc>
          <w:tcPr>
            <w:tcW w:w="1133" w:type="dxa"/>
            <w:tcBorders>
              <w:top w:val="single" w:sz="4" w:space="0" w:color="000000"/>
              <w:left w:val="single" w:sz="4" w:space="0" w:color="000000"/>
              <w:bottom w:val="single" w:sz="4" w:space="0" w:color="000000"/>
              <w:right w:val="single" w:sz="4" w:space="0" w:color="000000"/>
            </w:tcBorders>
          </w:tcPr>
          <w:p w14:paraId="5233278F"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11</w:t>
            </w:r>
          </w:p>
        </w:tc>
        <w:tc>
          <w:tcPr>
            <w:tcW w:w="3557" w:type="dxa"/>
            <w:tcBorders>
              <w:top w:val="single" w:sz="4" w:space="0" w:color="000000"/>
              <w:left w:val="single" w:sz="4" w:space="0" w:color="000000"/>
              <w:bottom w:val="single" w:sz="4" w:space="0" w:color="000000"/>
              <w:right w:val="single" w:sz="4" w:space="0" w:color="000000"/>
            </w:tcBorders>
          </w:tcPr>
          <w:p w14:paraId="0F81763D"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art of public speaking.</w:t>
            </w:r>
          </w:p>
        </w:tc>
        <w:tc>
          <w:tcPr>
            <w:tcW w:w="667" w:type="dxa"/>
            <w:tcBorders>
              <w:top w:val="single" w:sz="4" w:space="0" w:color="000000"/>
              <w:left w:val="single" w:sz="4" w:space="0" w:color="000000"/>
              <w:bottom w:val="single" w:sz="4" w:space="0" w:color="000000"/>
              <w:right w:val="single" w:sz="4" w:space="0" w:color="000000"/>
            </w:tcBorders>
          </w:tcPr>
          <w:p w14:paraId="74A1BB1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bottom w:val="single" w:sz="4" w:space="0" w:color="000000"/>
            </w:tcBorders>
          </w:tcPr>
          <w:p w14:paraId="7B93D671"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bottom w:val="single" w:sz="4" w:space="0" w:color="000000"/>
            </w:tcBorders>
          </w:tcPr>
          <w:p w14:paraId="7196B2F2"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3D5BDE88"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6E0E3628" w14:textId="77777777">
        <w:trPr>
          <w:trHeight w:val="680"/>
        </w:trPr>
        <w:tc>
          <w:tcPr>
            <w:tcW w:w="1133" w:type="dxa"/>
            <w:tcBorders>
              <w:top w:val="single" w:sz="4" w:space="0" w:color="000000"/>
              <w:left w:val="single" w:sz="4" w:space="0" w:color="000000"/>
              <w:right w:val="single" w:sz="4" w:space="0" w:color="000000"/>
            </w:tcBorders>
          </w:tcPr>
          <w:p w14:paraId="06FD7F0C"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12</w:t>
            </w:r>
          </w:p>
        </w:tc>
        <w:tc>
          <w:tcPr>
            <w:tcW w:w="3557" w:type="dxa"/>
            <w:tcBorders>
              <w:top w:val="single" w:sz="4" w:space="0" w:color="000000"/>
              <w:left w:val="single" w:sz="4" w:space="0" w:color="000000"/>
              <w:right w:val="single" w:sz="4" w:space="0" w:color="000000"/>
            </w:tcBorders>
          </w:tcPr>
          <w:p w14:paraId="45FF91E7"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Presentation as a type of public speaking</w:t>
            </w:r>
          </w:p>
        </w:tc>
        <w:tc>
          <w:tcPr>
            <w:tcW w:w="667" w:type="dxa"/>
            <w:tcBorders>
              <w:top w:val="single" w:sz="4" w:space="0" w:color="000000"/>
              <w:left w:val="single" w:sz="4" w:space="0" w:color="000000"/>
              <w:right w:val="single" w:sz="4" w:space="0" w:color="000000"/>
            </w:tcBorders>
          </w:tcPr>
          <w:p w14:paraId="788D1AA3"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67" w:type="dxa"/>
            <w:tcBorders>
              <w:top w:val="single" w:sz="4" w:space="0" w:color="000000"/>
              <w:left w:val="single" w:sz="4" w:space="0" w:color="000000"/>
            </w:tcBorders>
          </w:tcPr>
          <w:p w14:paraId="5843E99B"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2" w:type="dxa"/>
            <w:tcBorders>
              <w:top w:val="single" w:sz="4" w:space="0" w:color="000000"/>
              <w:left w:val="single" w:sz="4" w:space="0" w:color="000000"/>
            </w:tcBorders>
          </w:tcPr>
          <w:p w14:paraId="4065CC08"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03" w:type="dxa"/>
            <w:vMerge/>
            <w:tcBorders>
              <w:top w:val="single" w:sz="4" w:space="0" w:color="000000"/>
              <w:left w:val="single" w:sz="4" w:space="0" w:color="000000"/>
              <w:right w:val="single" w:sz="4" w:space="0" w:color="000000"/>
            </w:tcBorders>
          </w:tcPr>
          <w:p w14:paraId="1C5117E4"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6EF2C1B5" w14:textId="77777777">
        <w:trPr>
          <w:trHeight w:val="335"/>
        </w:trPr>
        <w:tc>
          <w:tcPr>
            <w:tcW w:w="9639" w:type="dxa"/>
            <w:gridSpan w:val="6"/>
            <w:tcBorders>
              <w:top w:val="single" w:sz="4" w:space="0" w:color="000000"/>
              <w:left w:val="single" w:sz="4" w:space="0" w:color="000000"/>
              <w:bottom w:val="single" w:sz="4" w:space="0" w:color="000000"/>
              <w:right w:val="single" w:sz="4" w:space="0" w:color="000000"/>
            </w:tcBorders>
          </w:tcPr>
          <w:p w14:paraId="32407C71"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Modular test </w:t>
            </w:r>
          </w:p>
        </w:tc>
      </w:tr>
      <w:tr w:rsidR="00506435" w14:paraId="14C4E9EA" w14:textId="77777777">
        <w:trPr>
          <w:trHeight w:val="335"/>
        </w:trPr>
        <w:tc>
          <w:tcPr>
            <w:tcW w:w="4690" w:type="dxa"/>
            <w:gridSpan w:val="2"/>
            <w:tcBorders>
              <w:top w:val="single" w:sz="4" w:space="0" w:color="000000"/>
              <w:left w:val="single" w:sz="4" w:space="0" w:color="000000"/>
              <w:bottom w:val="single" w:sz="4" w:space="0" w:color="000000"/>
              <w:right w:val="single" w:sz="4" w:space="0" w:color="000000"/>
            </w:tcBorders>
          </w:tcPr>
          <w:p w14:paraId="71FE219B"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Total:</w:t>
            </w:r>
          </w:p>
        </w:tc>
        <w:tc>
          <w:tcPr>
            <w:tcW w:w="667" w:type="dxa"/>
            <w:tcBorders>
              <w:top w:val="single" w:sz="4" w:space="0" w:color="000000"/>
              <w:left w:val="single" w:sz="4" w:space="0" w:color="000000"/>
              <w:bottom w:val="single" w:sz="4" w:space="0" w:color="000000"/>
              <w:right w:val="single" w:sz="4" w:space="0" w:color="000000"/>
            </w:tcBorders>
          </w:tcPr>
          <w:p w14:paraId="3D5C2408"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26</w:t>
            </w:r>
          </w:p>
        </w:tc>
        <w:tc>
          <w:tcPr>
            <w:tcW w:w="667" w:type="dxa"/>
            <w:tcBorders>
              <w:top w:val="single" w:sz="4" w:space="0" w:color="000000"/>
              <w:left w:val="single" w:sz="4" w:space="0" w:color="000000"/>
              <w:bottom w:val="single" w:sz="4" w:space="0" w:color="000000"/>
            </w:tcBorders>
          </w:tcPr>
          <w:p w14:paraId="12DF0FF7"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26</w:t>
            </w:r>
          </w:p>
        </w:tc>
        <w:tc>
          <w:tcPr>
            <w:tcW w:w="712" w:type="dxa"/>
            <w:tcBorders>
              <w:top w:val="single" w:sz="4" w:space="0" w:color="000000"/>
              <w:left w:val="single" w:sz="4" w:space="0" w:color="000000"/>
              <w:bottom w:val="single" w:sz="4" w:space="0" w:color="000000"/>
            </w:tcBorders>
          </w:tcPr>
          <w:p w14:paraId="12742E08"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68</w:t>
            </w:r>
          </w:p>
        </w:tc>
        <w:tc>
          <w:tcPr>
            <w:tcW w:w="2903" w:type="dxa"/>
            <w:tcBorders>
              <w:top w:val="single" w:sz="4" w:space="0" w:color="000000"/>
              <w:left w:val="single" w:sz="4" w:space="0" w:color="000000"/>
              <w:bottom w:val="single" w:sz="4" w:space="0" w:color="000000"/>
              <w:right w:val="single" w:sz="4" w:space="0" w:color="000000"/>
            </w:tcBorders>
          </w:tcPr>
          <w:p w14:paraId="0E169E55" w14:textId="77777777" w:rsidR="00506435" w:rsidRDefault="00506435">
            <w:pPr>
              <w:widowControl w:val="0"/>
              <w:spacing w:line="240" w:lineRule="auto"/>
              <w:jc w:val="center"/>
              <w:rPr>
                <w:rFonts w:ascii="Times New Roman" w:eastAsia="Times New Roman" w:hAnsi="Times New Roman" w:cs="Times New Roman"/>
                <w:b/>
                <w:bCs/>
                <w:sz w:val="28"/>
                <w:szCs w:val="28"/>
              </w:rPr>
            </w:pPr>
          </w:p>
        </w:tc>
      </w:tr>
      <w:tr w:rsidR="00506435" w14:paraId="1950FECA" w14:textId="77777777">
        <w:trPr>
          <w:trHeight w:val="335"/>
        </w:trPr>
        <w:tc>
          <w:tcPr>
            <w:tcW w:w="9639" w:type="dxa"/>
            <w:gridSpan w:val="6"/>
            <w:tcBorders>
              <w:left w:val="single" w:sz="4" w:space="0" w:color="000000"/>
              <w:bottom w:val="single" w:sz="4" w:space="0" w:color="000000"/>
              <w:right w:val="single" w:sz="4" w:space="0" w:color="000000"/>
            </w:tcBorders>
          </w:tcPr>
          <w:p w14:paraId="614E70F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Final assessment: exam</w:t>
            </w:r>
          </w:p>
        </w:tc>
      </w:tr>
    </w:tbl>
    <w:p w14:paraId="534B484C" w14:textId="77777777" w:rsidR="00506435" w:rsidRDefault="00506435">
      <w:pPr>
        <w:widowControl w:val="0"/>
        <w:spacing w:line="240" w:lineRule="auto"/>
        <w:jc w:val="center"/>
        <w:rPr>
          <w:rFonts w:ascii="Times New Roman" w:eastAsia="Times New Roman" w:hAnsi="Times New Roman" w:cs="Times New Roman"/>
          <w:b/>
          <w:bCs/>
          <w:sz w:val="28"/>
          <w:szCs w:val="28"/>
        </w:rPr>
      </w:pPr>
    </w:p>
    <w:p w14:paraId="0A217F4D"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Technical equipment and/or software</w:t>
      </w:r>
      <w:r>
        <w:rPr>
          <w:rFonts w:ascii="Times New Roman" w:eastAsia="Times New Roman" w:hAnsi="Times New Roman" w:cs="Times New Roman"/>
          <w:color w:val="000000"/>
          <w:sz w:val="28"/>
          <w:szCs w:val="28"/>
        </w:rPr>
        <w:t xml:space="preserve"> – official website of </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w:t>
      </w:r>
    </w:p>
    <w:p w14:paraId="421D71D5"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http://</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7EA4CF71"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13B724CE"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Forms and methods of assessment.</w:t>
      </w:r>
    </w:p>
    <w:p w14:paraId="740BA4F6"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Assessment of students’ academic performance is divided into ongoing and final (semester) assessment.</w:t>
      </w:r>
    </w:p>
    <w:p w14:paraId="7DC45F0F"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717FBFA7"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student participation in the educational process subject to ongoing assessment include:</w:t>
      </w:r>
    </w:p>
    <w:p w14:paraId="4CE85796" w14:textId="77777777" w:rsidR="00506435" w:rsidRDefault="00000000">
      <w:pPr>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oral reports;</w:t>
      </w:r>
    </w:p>
    <w:p w14:paraId="08750151" w14:textId="77777777" w:rsidR="00506435" w:rsidRDefault="00000000">
      <w:pPr>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comments and questions to the speaker;</w:t>
      </w:r>
    </w:p>
    <w:p w14:paraId="0BC04284" w14:textId="77777777" w:rsidR="00506435" w:rsidRDefault="00000000">
      <w:pPr>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consistent performance in seminar classes and active participation in discussions;</w:t>
      </w:r>
    </w:p>
    <w:p w14:paraId="69C47D5E" w14:textId="77777777" w:rsidR="00506435" w:rsidRDefault="00000000">
      <w:pPr>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participation in debates and interactive learning activities;</w:t>
      </w:r>
    </w:p>
    <w:p w14:paraId="320A80ED" w14:textId="77777777" w:rsidR="00506435" w:rsidRDefault="00000000">
      <w:pPr>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analysis of legislation and academic literature;</w:t>
      </w:r>
    </w:p>
    <w:p w14:paraId="5800CEA6" w14:textId="77777777" w:rsidR="00506435" w:rsidRDefault="00000000">
      <w:pPr>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written assignments (tests, quizzes, creative tasks, essays, etc.);</w:t>
      </w:r>
    </w:p>
    <w:p w14:paraId="3204AC3E" w14:textId="77777777" w:rsidR="00506435" w:rsidRDefault="00000000">
      <w:pPr>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preparation of theses and summaries of academic or scientific texts;</w:t>
      </w:r>
    </w:p>
    <w:p w14:paraId="78509C9D" w14:textId="77777777" w:rsidR="00506435" w:rsidRDefault="00000000">
      <w:pPr>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study of course topics.</w:t>
      </w:r>
    </w:p>
    <w:p w14:paraId="479527EC"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4029705C"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Methods of ongoing assessment include: </w:t>
      </w:r>
      <w:r>
        <w:rPr>
          <w:rFonts w:ascii="Times New Roman" w:eastAsia="Times New Roman" w:hAnsi="Times New Roman" w:cs="Times New Roman"/>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rFonts w:ascii="Times New Roman" w:eastAsia="Times New Roman" w:hAnsi="Times New Roman" w:cs="Times New Roman"/>
          <w:color w:val="000000"/>
          <w:sz w:val="28"/>
          <w:szCs w:val="28"/>
        </w:rPr>
        <w:tab/>
        <w:t>testing; analysis of problem situations.</w:t>
      </w:r>
    </w:p>
    <w:p w14:paraId="10C85B48"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7162952C" w14:textId="77777777" w:rsidR="00506435" w:rsidRDefault="00000000">
      <w:pPr>
        <w:pBdr>
          <w:top w:val="nil"/>
          <w:left w:val="nil"/>
          <w:bottom w:val="nil"/>
          <w:right w:val="nil"/>
          <w:between w:val="nil"/>
        </w:pBdr>
        <w:spacing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Grading system and requirements.</w:t>
      </w:r>
    </w:p>
    <w:p w14:paraId="6E01A5C7" w14:textId="77777777" w:rsidR="00506435" w:rsidRDefault="00000000">
      <w:pPr>
        <w:pBdr>
          <w:top w:val="nil"/>
          <w:left w:val="nil"/>
          <w:bottom w:val="nil"/>
          <w:right w:val="nil"/>
          <w:between w:val="nil"/>
        </w:pBdr>
        <w:spacing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Table of distribution of points received by students</w:t>
      </w:r>
    </w:p>
    <w:tbl>
      <w:tblPr>
        <w:tblStyle w:val="aff"/>
        <w:tblW w:w="9639" w:type="dxa"/>
        <w:tblInd w:w="0" w:type="dxa"/>
        <w:tblLayout w:type="fixed"/>
        <w:tblLook w:val="0400" w:firstRow="0" w:lastRow="0" w:firstColumn="0" w:lastColumn="0" w:noHBand="0" w:noVBand="1"/>
      </w:tblPr>
      <w:tblGrid>
        <w:gridCol w:w="1560"/>
        <w:gridCol w:w="426"/>
        <w:gridCol w:w="425"/>
        <w:gridCol w:w="425"/>
        <w:gridCol w:w="425"/>
        <w:gridCol w:w="426"/>
        <w:gridCol w:w="425"/>
        <w:gridCol w:w="425"/>
        <w:gridCol w:w="425"/>
        <w:gridCol w:w="426"/>
        <w:gridCol w:w="425"/>
        <w:gridCol w:w="425"/>
        <w:gridCol w:w="425"/>
        <w:gridCol w:w="1276"/>
        <w:gridCol w:w="850"/>
        <w:gridCol w:w="850"/>
      </w:tblGrid>
      <w:tr w:rsidR="00506435" w14:paraId="07C47E2B" w14:textId="77777777">
        <w:trPr>
          <w:trHeight w:val="655"/>
        </w:trPr>
        <w:tc>
          <w:tcPr>
            <w:tcW w:w="1560" w:type="dxa"/>
            <w:tcBorders>
              <w:top w:val="single" w:sz="4" w:space="0" w:color="000000"/>
              <w:left w:val="single" w:sz="4" w:space="0" w:color="000000"/>
              <w:bottom w:val="single" w:sz="4" w:space="0" w:color="000000"/>
            </w:tcBorders>
          </w:tcPr>
          <w:p w14:paraId="5041B99B" w14:textId="77777777" w:rsidR="00506435" w:rsidRDefault="00506435">
            <w:pPr>
              <w:widowControl w:val="0"/>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
        </w:tc>
        <w:tc>
          <w:tcPr>
            <w:tcW w:w="5103" w:type="dxa"/>
            <w:gridSpan w:val="12"/>
            <w:tcBorders>
              <w:top w:val="single" w:sz="4" w:space="0" w:color="000000"/>
              <w:left w:val="single" w:sz="4" w:space="0" w:color="000000"/>
              <w:bottom w:val="single" w:sz="4" w:space="0" w:color="000000"/>
              <w:right w:val="single" w:sz="4" w:space="0" w:color="000000"/>
            </w:tcBorders>
            <w:vAlign w:val="center"/>
          </w:tcPr>
          <w:p w14:paraId="047A41F5"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Ongoing knowledge assessment</w:t>
            </w:r>
          </w:p>
        </w:tc>
        <w:tc>
          <w:tcPr>
            <w:tcW w:w="1276" w:type="dxa"/>
            <w:tcBorders>
              <w:top w:val="single" w:sz="4" w:space="0" w:color="000000"/>
              <w:left w:val="single" w:sz="4" w:space="0" w:color="000000"/>
              <w:bottom w:val="single" w:sz="4" w:space="0" w:color="000000"/>
            </w:tcBorders>
            <w:vAlign w:val="center"/>
          </w:tcPr>
          <w:p w14:paraId="614114E4"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Modular assessment task</w:t>
            </w:r>
          </w:p>
        </w:tc>
        <w:tc>
          <w:tcPr>
            <w:tcW w:w="850" w:type="dxa"/>
            <w:tcBorders>
              <w:top w:val="single" w:sz="4" w:space="0" w:color="000000"/>
              <w:left w:val="single" w:sz="4" w:space="0" w:color="000000"/>
              <w:bottom w:val="single" w:sz="4" w:space="0" w:color="000000"/>
              <w:right w:val="single" w:sz="4" w:space="0" w:color="000000"/>
            </w:tcBorders>
            <w:vAlign w:val="center"/>
          </w:tcPr>
          <w:p w14:paraId="18CB5435" w14:textId="77777777" w:rsidR="00506435"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p w14:paraId="4B6A45E0" w14:textId="77777777" w:rsidR="00506435" w:rsidRDefault="00506435">
            <w:pPr>
              <w:widowControl w:val="0"/>
              <w:spacing w:line="240" w:lineRule="auto"/>
              <w:jc w:val="center"/>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vAlign w:val="center"/>
          </w:tcPr>
          <w:p w14:paraId="47078D4C"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Total points</w:t>
            </w:r>
          </w:p>
        </w:tc>
      </w:tr>
      <w:tr w:rsidR="00506435" w14:paraId="2F18B5DF" w14:textId="77777777">
        <w:trPr>
          <w:cantSplit/>
          <w:trHeight w:val="887"/>
        </w:trPr>
        <w:tc>
          <w:tcPr>
            <w:tcW w:w="1560" w:type="dxa"/>
            <w:tcBorders>
              <w:left w:val="single" w:sz="4" w:space="0" w:color="000000"/>
              <w:bottom w:val="single" w:sz="4" w:space="0" w:color="000000"/>
            </w:tcBorders>
          </w:tcPr>
          <w:p w14:paraId="1828FE22" w14:textId="77777777" w:rsidR="00506435" w:rsidRDefault="00000000">
            <w:pPr>
              <w:widowControl w:val="0"/>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Topics</w:t>
            </w:r>
          </w:p>
        </w:tc>
        <w:tc>
          <w:tcPr>
            <w:tcW w:w="426" w:type="dxa"/>
            <w:tcBorders>
              <w:left w:val="single" w:sz="4" w:space="0" w:color="000000"/>
              <w:bottom w:val="single" w:sz="4" w:space="0" w:color="000000"/>
            </w:tcBorders>
          </w:tcPr>
          <w:p w14:paraId="77AA0EE7" w14:textId="77777777" w:rsidR="00506435"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Topic 1</w:t>
            </w:r>
          </w:p>
        </w:tc>
        <w:tc>
          <w:tcPr>
            <w:tcW w:w="425" w:type="dxa"/>
            <w:tcBorders>
              <w:left w:val="single" w:sz="4" w:space="0" w:color="000000"/>
              <w:bottom w:val="single" w:sz="4" w:space="0" w:color="000000"/>
            </w:tcBorders>
          </w:tcPr>
          <w:p w14:paraId="520AA8BB"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2</w:t>
            </w:r>
          </w:p>
        </w:tc>
        <w:tc>
          <w:tcPr>
            <w:tcW w:w="425" w:type="dxa"/>
            <w:tcBorders>
              <w:left w:val="single" w:sz="4" w:space="0" w:color="000000"/>
              <w:bottom w:val="single" w:sz="4" w:space="0" w:color="000000"/>
            </w:tcBorders>
          </w:tcPr>
          <w:p w14:paraId="7DF7EEAA"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3</w:t>
            </w:r>
          </w:p>
        </w:tc>
        <w:tc>
          <w:tcPr>
            <w:tcW w:w="425" w:type="dxa"/>
            <w:tcBorders>
              <w:left w:val="single" w:sz="4" w:space="0" w:color="000000"/>
              <w:bottom w:val="single" w:sz="4" w:space="0" w:color="000000"/>
            </w:tcBorders>
          </w:tcPr>
          <w:p w14:paraId="2B8BDCB5"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4</w:t>
            </w:r>
          </w:p>
        </w:tc>
        <w:tc>
          <w:tcPr>
            <w:tcW w:w="426" w:type="dxa"/>
            <w:tcBorders>
              <w:left w:val="single" w:sz="4" w:space="0" w:color="000000"/>
              <w:bottom w:val="single" w:sz="4" w:space="0" w:color="000000"/>
            </w:tcBorders>
          </w:tcPr>
          <w:p w14:paraId="2F9EC36D"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5</w:t>
            </w:r>
          </w:p>
        </w:tc>
        <w:tc>
          <w:tcPr>
            <w:tcW w:w="425" w:type="dxa"/>
            <w:tcBorders>
              <w:left w:val="single" w:sz="4" w:space="0" w:color="000000"/>
              <w:bottom w:val="single" w:sz="4" w:space="0" w:color="000000"/>
            </w:tcBorders>
          </w:tcPr>
          <w:p w14:paraId="78BC04DC"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6</w:t>
            </w:r>
          </w:p>
        </w:tc>
        <w:tc>
          <w:tcPr>
            <w:tcW w:w="425" w:type="dxa"/>
            <w:tcBorders>
              <w:left w:val="single" w:sz="4" w:space="0" w:color="000000"/>
              <w:bottom w:val="single" w:sz="4" w:space="0" w:color="000000"/>
            </w:tcBorders>
          </w:tcPr>
          <w:p w14:paraId="60136B13"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7</w:t>
            </w:r>
          </w:p>
        </w:tc>
        <w:tc>
          <w:tcPr>
            <w:tcW w:w="425" w:type="dxa"/>
            <w:tcBorders>
              <w:left w:val="single" w:sz="4" w:space="0" w:color="000000"/>
              <w:bottom w:val="single" w:sz="4" w:space="0" w:color="000000"/>
            </w:tcBorders>
          </w:tcPr>
          <w:p w14:paraId="63FF9B2E"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8</w:t>
            </w:r>
          </w:p>
        </w:tc>
        <w:tc>
          <w:tcPr>
            <w:tcW w:w="426" w:type="dxa"/>
            <w:tcBorders>
              <w:left w:val="single" w:sz="4" w:space="0" w:color="000000"/>
              <w:bottom w:val="single" w:sz="4" w:space="0" w:color="000000"/>
              <w:right w:val="single" w:sz="4" w:space="0" w:color="000000"/>
            </w:tcBorders>
          </w:tcPr>
          <w:p w14:paraId="5FF12766"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9</w:t>
            </w:r>
          </w:p>
        </w:tc>
        <w:tc>
          <w:tcPr>
            <w:tcW w:w="425" w:type="dxa"/>
            <w:tcBorders>
              <w:left w:val="single" w:sz="4" w:space="0" w:color="000000"/>
              <w:bottom w:val="single" w:sz="4" w:space="0" w:color="000000"/>
            </w:tcBorders>
          </w:tcPr>
          <w:p w14:paraId="41815F47"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10</w:t>
            </w:r>
          </w:p>
        </w:tc>
        <w:tc>
          <w:tcPr>
            <w:tcW w:w="425" w:type="dxa"/>
            <w:tcBorders>
              <w:left w:val="single" w:sz="4" w:space="0" w:color="000000"/>
              <w:bottom w:val="single" w:sz="4" w:space="0" w:color="000000"/>
              <w:right w:val="single" w:sz="4" w:space="0" w:color="000000"/>
            </w:tcBorders>
          </w:tcPr>
          <w:p w14:paraId="1B30FDDD"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11</w:t>
            </w:r>
          </w:p>
        </w:tc>
        <w:tc>
          <w:tcPr>
            <w:tcW w:w="425" w:type="dxa"/>
            <w:tcBorders>
              <w:left w:val="single" w:sz="4" w:space="0" w:color="000000"/>
              <w:bottom w:val="single" w:sz="4" w:space="0" w:color="000000"/>
              <w:right w:val="single" w:sz="4" w:space="0" w:color="000000"/>
            </w:tcBorders>
          </w:tcPr>
          <w:p w14:paraId="4187BD4F" w14:textId="77777777" w:rsidR="00506435"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 12</w:t>
            </w:r>
          </w:p>
        </w:tc>
        <w:tc>
          <w:tcPr>
            <w:tcW w:w="1276" w:type="dxa"/>
            <w:vMerge w:val="restart"/>
            <w:tcBorders>
              <w:left w:val="single" w:sz="4" w:space="0" w:color="000000"/>
            </w:tcBorders>
          </w:tcPr>
          <w:p w14:paraId="0F76581E" w14:textId="77777777" w:rsidR="00506435" w:rsidRDefault="00506435">
            <w:pPr>
              <w:widowControl w:val="0"/>
              <w:spacing w:line="240" w:lineRule="auto"/>
              <w:jc w:val="center"/>
              <w:rPr>
                <w:rFonts w:ascii="Times New Roman" w:eastAsia="Times New Roman" w:hAnsi="Times New Roman" w:cs="Times New Roman"/>
                <w:sz w:val="28"/>
                <w:szCs w:val="28"/>
              </w:rPr>
            </w:pPr>
          </w:p>
          <w:p w14:paraId="4A1F3743" w14:textId="77777777" w:rsidR="00506435" w:rsidRDefault="00506435">
            <w:pPr>
              <w:widowControl w:val="0"/>
              <w:spacing w:line="240" w:lineRule="auto"/>
              <w:jc w:val="center"/>
              <w:rPr>
                <w:rFonts w:ascii="Times New Roman" w:eastAsia="Times New Roman" w:hAnsi="Times New Roman" w:cs="Times New Roman"/>
                <w:sz w:val="28"/>
                <w:szCs w:val="28"/>
              </w:rPr>
            </w:pPr>
          </w:p>
          <w:p w14:paraId="2A97E04E" w14:textId="77777777" w:rsidR="00506435" w:rsidRDefault="00506435">
            <w:pPr>
              <w:widowControl w:val="0"/>
              <w:spacing w:line="240" w:lineRule="auto"/>
              <w:jc w:val="center"/>
              <w:rPr>
                <w:rFonts w:ascii="Times New Roman" w:eastAsia="Times New Roman" w:hAnsi="Times New Roman" w:cs="Times New Roman"/>
                <w:sz w:val="28"/>
                <w:szCs w:val="28"/>
              </w:rPr>
            </w:pPr>
          </w:p>
          <w:p w14:paraId="1F84D772"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c>
          <w:tcPr>
            <w:tcW w:w="850" w:type="dxa"/>
            <w:vMerge w:val="restart"/>
            <w:tcBorders>
              <w:left w:val="single" w:sz="4" w:space="0" w:color="000000"/>
              <w:right w:val="single" w:sz="4" w:space="0" w:color="000000"/>
            </w:tcBorders>
          </w:tcPr>
          <w:p w14:paraId="4649F25A" w14:textId="77777777" w:rsidR="00506435" w:rsidRDefault="00506435">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1DE33A8B" w14:textId="77777777" w:rsidR="00506435" w:rsidRDefault="00506435">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3149A3CA" w14:textId="77777777" w:rsidR="00506435" w:rsidRDefault="00506435">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711D462F" w14:textId="77777777" w:rsidR="00506435"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40</w:t>
            </w:r>
          </w:p>
        </w:tc>
        <w:tc>
          <w:tcPr>
            <w:tcW w:w="850" w:type="dxa"/>
            <w:vMerge w:val="restart"/>
            <w:tcBorders>
              <w:left w:val="single" w:sz="4" w:space="0" w:color="000000"/>
            </w:tcBorders>
          </w:tcPr>
          <w:p w14:paraId="0B1A760F" w14:textId="77777777" w:rsidR="00506435" w:rsidRDefault="00506435">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112FD007" w14:textId="77777777" w:rsidR="00506435" w:rsidRDefault="00506435">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724C6752" w14:textId="77777777" w:rsidR="00506435" w:rsidRDefault="00506435">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78249944" w14:textId="77777777" w:rsidR="00506435"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w:t>
            </w:r>
          </w:p>
        </w:tc>
      </w:tr>
      <w:tr w:rsidR="00506435" w14:paraId="38573605" w14:textId="77777777">
        <w:trPr>
          <w:trHeight w:val="552"/>
        </w:trPr>
        <w:tc>
          <w:tcPr>
            <w:tcW w:w="1560" w:type="dxa"/>
            <w:tcBorders>
              <w:left w:val="single" w:sz="4" w:space="0" w:color="000000"/>
              <w:bottom w:val="single" w:sz="4" w:space="0" w:color="000000"/>
            </w:tcBorders>
          </w:tcPr>
          <w:p w14:paraId="620602B4" w14:textId="77777777" w:rsidR="00506435" w:rsidRDefault="00000000">
            <w:pPr>
              <w:widowControl w:val="0"/>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Work in a seminar</w:t>
            </w:r>
          </w:p>
        </w:tc>
        <w:tc>
          <w:tcPr>
            <w:tcW w:w="426" w:type="dxa"/>
            <w:tcBorders>
              <w:left w:val="single" w:sz="4" w:space="0" w:color="000000"/>
              <w:bottom w:val="single" w:sz="4" w:space="0" w:color="000000"/>
              <w:right w:val="single" w:sz="4" w:space="0" w:color="000000"/>
            </w:tcBorders>
          </w:tcPr>
          <w:p w14:paraId="1BA2934D" w14:textId="77777777" w:rsidR="00506435"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425" w:type="dxa"/>
            <w:tcBorders>
              <w:left w:val="single" w:sz="4" w:space="0" w:color="000000"/>
              <w:bottom w:val="single" w:sz="4" w:space="0" w:color="000000"/>
            </w:tcBorders>
          </w:tcPr>
          <w:p w14:paraId="46F9B7A1" w14:textId="77777777" w:rsidR="00506435"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c>
          <w:tcPr>
            <w:tcW w:w="425" w:type="dxa"/>
            <w:tcBorders>
              <w:left w:val="single" w:sz="4" w:space="0" w:color="000000"/>
              <w:bottom w:val="single" w:sz="4" w:space="0" w:color="000000"/>
              <w:right w:val="single" w:sz="4" w:space="0" w:color="000000"/>
            </w:tcBorders>
          </w:tcPr>
          <w:p w14:paraId="75068057"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5" w:type="dxa"/>
            <w:tcBorders>
              <w:left w:val="single" w:sz="4" w:space="0" w:color="000000"/>
              <w:bottom w:val="single" w:sz="4" w:space="0" w:color="000000"/>
            </w:tcBorders>
          </w:tcPr>
          <w:p w14:paraId="1576762E"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6" w:type="dxa"/>
            <w:tcBorders>
              <w:left w:val="single" w:sz="4" w:space="0" w:color="000000"/>
              <w:bottom w:val="single" w:sz="4" w:space="0" w:color="000000"/>
            </w:tcBorders>
          </w:tcPr>
          <w:p w14:paraId="7CA07DD3"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5" w:type="dxa"/>
            <w:tcBorders>
              <w:left w:val="single" w:sz="4" w:space="0" w:color="000000"/>
              <w:bottom w:val="single" w:sz="4" w:space="0" w:color="000000"/>
              <w:right w:val="single" w:sz="4" w:space="0" w:color="000000"/>
            </w:tcBorders>
          </w:tcPr>
          <w:p w14:paraId="340813EB"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5" w:type="dxa"/>
            <w:tcBorders>
              <w:left w:val="single" w:sz="4" w:space="0" w:color="000000"/>
              <w:bottom w:val="single" w:sz="4" w:space="0" w:color="000000"/>
            </w:tcBorders>
          </w:tcPr>
          <w:p w14:paraId="34F0F969"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425" w:type="dxa"/>
            <w:tcBorders>
              <w:left w:val="single" w:sz="4" w:space="0" w:color="000000"/>
              <w:bottom w:val="single" w:sz="4" w:space="0" w:color="000000"/>
            </w:tcBorders>
          </w:tcPr>
          <w:p w14:paraId="1B9CFF39"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6" w:type="dxa"/>
            <w:tcBorders>
              <w:left w:val="single" w:sz="4" w:space="0" w:color="000000"/>
              <w:bottom w:val="single" w:sz="4" w:space="0" w:color="000000"/>
              <w:right w:val="single" w:sz="4" w:space="0" w:color="000000"/>
            </w:tcBorders>
          </w:tcPr>
          <w:p w14:paraId="70F7EB85"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5" w:type="dxa"/>
            <w:tcBorders>
              <w:left w:val="single" w:sz="4" w:space="0" w:color="000000"/>
              <w:bottom w:val="single" w:sz="4" w:space="0" w:color="000000"/>
            </w:tcBorders>
          </w:tcPr>
          <w:p w14:paraId="721347E5"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5" w:type="dxa"/>
            <w:tcBorders>
              <w:left w:val="single" w:sz="4" w:space="0" w:color="000000"/>
              <w:bottom w:val="single" w:sz="4" w:space="0" w:color="000000"/>
              <w:right w:val="single" w:sz="4" w:space="0" w:color="000000"/>
            </w:tcBorders>
          </w:tcPr>
          <w:p w14:paraId="68BA22AF"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5" w:type="dxa"/>
            <w:tcBorders>
              <w:left w:val="single" w:sz="4" w:space="0" w:color="000000"/>
              <w:bottom w:val="single" w:sz="4" w:space="0" w:color="000000"/>
              <w:right w:val="single" w:sz="4" w:space="0" w:color="000000"/>
            </w:tcBorders>
          </w:tcPr>
          <w:p w14:paraId="47D19593"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276" w:type="dxa"/>
            <w:vMerge/>
            <w:tcBorders>
              <w:left w:val="single" w:sz="4" w:space="0" w:color="000000"/>
            </w:tcBorders>
          </w:tcPr>
          <w:p w14:paraId="4E6407DC"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850" w:type="dxa"/>
            <w:vMerge/>
            <w:tcBorders>
              <w:left w:val="single" w:sz="4" w:space="0" w:color="000000"/>
              <w:right w:val="single" w:sz="4" w:space="0" w:color="000000"/>
            </w:tcBorders>
          </w:tcPr>
          <w:p w14:paraId="6E8E6C7E"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850" w:type="dxa"/>
            <w:vMerge/>
            <w:tcBorders>
              <w:left w:val="single" w:sz="4" w:space="0" w:color="000000"/>
            </w:tcBorders>
          </w:tcPr>
          <w:p w14:paraId="68E51B5A"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506435" w14:paraId="33EDAAFB" w14:textId="77777777">
        <w:trPr>
          <w:trHeight w:val="435"/>
        </w:trPr>
        <w:tc>
          <w:tcPr>
            <w:tcW w:w="1560" w:type="dxa"/>
            <w:tcBorders>
              <w:left w:val="single" w:sz="4" w:space="0" w:color="000000"/>
              <w:bottom w:val="single" w:sz="4" w:space="0" w:color="000000"/>
            </w:tcBorders>
          </w:tcPr>
          <w:p w14:paraId="04C02DFE" w14:textId="77777777" w:rsidR="00506435" w:rsidRDefault="00000000">
            <w:pPr>
              <w:widowControl w:val="0"/>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Independent work</w:t>
            </w:r>
          </w:p>
        </w:tc>
        <w:tc>
          <w:tcPr>
            <w:tcW w:w="426" w:type="dxa"/>
            <w:tcBorders>
              <w:left w:val="single" w:sz="4" w:space="0" w:color="000000"/>
              <w:bottom w:val="single" w:sz="4" w:space="0" w:color="000000"/>
            </w:tcBorders>
          </w:tcPr>
          <w:p w14:paraId="5BB12A62" w14:textId="77777777" w:rsidR="00506435"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425" w:type="dxa"/>
            <w:tcBorders>
              <w:left w:val="single" w:sz="4" w:space="0" w:color="000000"/>
              <w:bottom w:val="single" w:sz="4" w:space="0" w:color="000000"/>
            </w:tcBorders>
          </w:tcPr>
          <w:p w14:paraId="36B3EBE3"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2F6D27B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0999D042"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6" w:type="dxa"/>
            <w:tcBorders>
              <w:left w:val="single" w:sz="4" w:space="0" w:color="000000"/>
              <w:bottom w:val="single" w:sz="4" w:space="0" w:color="000000"/>
            </w:tcBorders>
          </w:tcPr>
          <w:p w14:paraId="6CD7249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14A423BB"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77FB731B"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047BB92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6" w:type="dxa"/>
            <w:tcBorders>
              <w:left w:val="single" w:sz="4" w:space="0" w:color="000000"/>
              <w:bottom w:val="single" w:sz="4" w:space="0" w:color="000000"/>
            </w:tcBorders>
          </w:tcPr>
          <w:p w14:paraId="197B3888"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27347CB2"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23A0707D"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5D082B3F"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276" w:type="dxa"/>
            <w:vMerge/>
            <w:tcBorders>
              <w:left w:val="single" w:sz="4" w:space="0" w:color="000000"/>
            </w:tcBorders>
          </w:tcPr>
          <w:p w14:paraId="1D7006CD"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850" w:type="dxa"/>
            <w:vMerge/>
            <w:tcBorders>
              <w:left w:val="single" w:sz="4" w:space="0" w:color="000000"/>
              <w:right w:val="single" w:sz="4" w:space="0" w:color="000000"/>
            </w:tcBorders>
          </w:tcPr>
          <w:p w14:paraId="6DC1A410"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850" w:type="dxa"/>
            <w:vMerge/>
            <w:tcBorders>
              <w:left w:val="single" w:sz="4" w:space="0" w:color="000000"/>
            </w:tcBorders>
          </w:tcPr>
          <w:p w14:paraId="38BFDF7E"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bl>
    <w:p w14:paraId="3FC54097" w14:textId="77777777" w:rsidR="00506435" w:rsidRDefault="00506435">
      <w:pPr>
        <w:widowControl w:val="0"/>
        <w:spacing w:line="240" w:lineRule="auto"/>
        <w:jc w:val="both"/>
        <w:rPr>
          <w:rFonts w:ascii="Times New Roman" w:eastAsia="Times New Roman" w:hAnsi="Times New Roman" w:cs="Times New Roman"/>
          <w:sz w:val="28"/>
          <w:szCs w:val="28"/>
        </w:rPr>
      </w:pPr>
    </w:p>
    <w:p w14:paraId="0D4BBFCB"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table contains information about the maximum points for each type of assignment.</w:t>
      </w:r>
    </w:p>
    <w:p w14:paraId="2E09878B"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assessing the mastery of each topic within ongoing educational activities, students receive marks in accordance with the approved assessment criteria for the respective discipline.</w:t>
      </w:r>
    </w:p>
    <w:p w14:paraId="3EA1AD32"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criteria for evaluating learning outcomes and the distribution of points are regulated by the Regulations on the Assessment of Students’ Academic Achievements at PJSC “HEI IAPM”.</w:t>
      </w:r>
    </w:p>
    <w:p w14:paraId="5B7E3EDD"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p>
    <w:p w14:paraId="153E8D1D"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Modular assessment.</w:t>
      </w:r>
      <w:r>
        <w:rPr>
          <w:rFonts w:ascii="Times New Roman" w:eastAsia="Times New Roman" w:hAnsi="Times New Roman" w:cs="Times New Roman"/>
          <w:color w:val="000000"/>
          <w:sz w:val="28"/>
          <w:szCs w:val="28"/>
        </w:rPr>
        <w:t xml:space="preserve"> Modular assessment in the discipline “</w:t>
      </w:r>
      <w:r>
        <w:rPr>
          <w:rFonts w:ascii="Times New Roman" w:eastAsia="Times New Roman" w:hAnsi="Times New Roman" w:cs="Times New Roman"/>
          <w:sz w:val="28"/>
          <w:szCs w:val="28"/>
        </w:rPr>
        <w:t>Modern Ukrainian Language”</w:t>
      </w:r>
      <w:r>
        <w:rPr>
          <w:rFonts w:ascii="Times New Roman" w:eastAsia="Times New Roman" w:hAnsi="Times New Roman" w:cs="Times New Roman"/>
          <w:color w:val="000000"/>
          <w:sz w:val="28"/>
          <w:szCs w:val="28"/>
        </w:rPr>
        <w:t xml:space="preserve"> is conducted in written form as testing using closed-type test items, including alternative and matching formats.</w:t>
      </w:r>
    </w:p>
    <w:p w14:paraId="1BB8496F"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07E5EE23"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Criteria for evaluating the modular test in the academic discipline “</w:t>
      </w:r>
      <w:r>
        <w:rPr>
          <w:rFonts w:ascii="Times New Roman" w:eastAsia="Times New Roman" w:hAnsi="Times New Roman" w:cs="Times New Roman"/>
          <w:sz w:val="28"/>
          <w:szCs w:val="28"/>
        </w:rPr>
        <w:t>Modern Ukrainian Language</w:t>
      </w:r>
      <w:r>
        <w:rPr>
          <w:rFonts w:ascii="Times New Roman" w:eastAsia="Times New Roman" w:hAnsi="Times New Roman" w:cs="Times New Roman"/>
          <w:color w:val="000000"/>
          <w:sz w:val="28"/>
          <w:szCs w:val="28"/>
        </w:rPr>
        <w:t>”:</w:t>
      </w:r>
    </w:p>
    <w:p w14:paraId="1AED5AC8"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evaluating the modular test, the volume and correctness of the completed tasks are taken into account:</w:t>
      </w:r>
    </w:p>
    <w:p w14:paraId="1EC068A0"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"excellent" (A) is given for the correct completion of all tasks (or more than 90% of all tasks);</w:t>
      </w:r>
    </w:p>
    <w:p w14:paraId="567A7DEB"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(B) is given for the completion of 80% of all tasks;</w:t>
      </w:r>
    </w:p>
    <w:p w14:paraId="343D7843"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(C) is given for the completion of 70% of all tasks;</w:t>
      </w:r>
    </w:p>
    <w:p w14:paraId="353B7EA7"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(D) is given if 60% of the proposed tasks are completed correctly;</w:t>
      </w:r>
    </w:p>
    <w:p w14:paraId="46769E1D"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(E) is given if more than 50% of the proposed tasks are completed correctly;</w:t>
      </w:r>
    </w:p>
    <w:p w14:paraId="4F9CA962"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"unsatisfactory" (FX) is given if less than 50% of the tasks are completed.</w:t>
      </w:r>
    </w:p>
    <w:p w14:paraId="481AEF31"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Absence from the modular test work - 0 points.</w:t>
      </w:r>
    </w:p>
    <w:p w14:paraId="4C56F56E"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3F125381"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above grades are transformed into rating points as follows:</w:t>
      </w:r>
    </w:p>
    <w:p w14:paraId="3D1A4DD6"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- 18-20 points;</w:t>
      </w:r>
    </w:p>
    <w:p w14:paraId="3528D9A5"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- 16-17 points;</w:t>
      </w:r>
    </w:p>
    <w:p w14:paraId="7B324CAE"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- 14-15 points;</w:t>
      </w:r>
    </w:p>
    <w:p w14:paraId="53B4A2D3"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- 12-13 points.</w:t>
      </w:r>
    </w:p>
    <w:p w14:paraId="53D75CFB"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 - 10-11 points;</w:t>
      </w:r>
    </w:p>
    <w:p w14:paraId="0816EB58"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"FX" - less than 10 points.</w:t>
      </w:r>
    </w:p>
    <w:p w14:paraId="724F407E" w14:textId="77777777" w:rsidR="00506435" w:rsidRDefault="00506435">
      <w:pPr>
        <w:spacing w:line="240" w:lineRule="auto"/>
        <w:ind w:firstLine="720"/>
        <w:jc w:val="both"/>
        <w:rPr>
          <w:rFonts w:ascii="Times New Roman" w:eastAsia="Times New Roman" w:hAnsi="Times New Roman" w:cs="Times New Roman"/>
          <w:color w:val="000000"/>
          <w:sz w:val="28"/>
          <w:szCs w:val="28"/>
        </w:rPr>
      </w:pPr>
    </w:p>
    <w:p w14:paraId="656A2472" w14:textId="77777777" w:rsidR="00506435"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assessment in the academic discipline “</w:t>
      </w:r>
      <w:r>
        <w:rPr>
          <w:rFonts w:ascii="Times New Roman" w:eastAsia="Times New Roman" w:hAnsi="Times New Roman" w:cs="Times New Roman"/>
          <w:sz w:val="28"/>
          <w:szCs w:val="28"/>
        </w:rPr>
        <w:t>Modern Ukrainian Language”</w:t>
      </w:r>
      <w:r>
        <w:rPr>
          <w:rFonts w:ascii="Times New Roman" w:eastAsia="Times New Roman" w:hAnsi="Times New Roman" w:cs="Times New Roman"/>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3405213A" w14:textId="77777777" w:rsidR="00506435"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assessment is administered in the form of an exam. A student is admitted to the exam only if all required coursework specified in the syllabus has been completed.</w:t>
      </w:r>
    </w:p>
    <w:p w14:paraId="43D8728E" w14:textId="77777777" w:rsidR="00506435"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The final (semester) grade for a discipline assessed by examination consists of two components: the results of ongoing assessment and the exam grade.</w:t>
      </w:r>
    </w:p>
    <w:p w14:paraId="61AF8C2C" w14:textId="77777777" w:rsidR="00506435"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number of points for ongoing assessment is 60, and the maximum for the exam is 40.</w:t>
      </w:r>
    </w:p>
    <w:p w14:paraId="26A164FA" w14:textId="77777777" w:rsidR="00506435"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minimum number of points required to pass the exam is 25.</w:t>
      </w:r>
    </w:p>
    <w:p w14:paraId="18ABA15D" w14:textId="77777777" w:rsidR="00506435"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grade for ongoing assessment is formed as the sum of rating points earned by the student during seminar/practical classes and any incentive (bonus) points, if applicable.</w:t>
      </w:r>
    </w:p>
    <w:p w14:paraId="0B5A3EC3" w14:textId="77777777" w:rsidR="00506435"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After evaluating a student’s exam responses, the instructor adds the exam score to the points earned for ongoing assessment to determine the final grade for the course.</w:t>
      </w:r>
    </w:p>
    <w:p w14:paraId="20266761" w14:textId="77777777" w:rsidR="00506435" w:rsidRDefault="00506435">
      <w:pPr>
        <w:spacing w:line="240" w:lineRule="auto"/>
        <w:ind w:firstLine="720"/>
        <w:jc w:val="both"/>
        <w:rPr>
          <w:rFonts w:ascii="Times New Roman" w:eastAsia="Times New Roman" w:hAnsi="Times New Roman" w:cs="Times New Roman"/>
          <w:color w:val="000000"/>
          <w:sz w:val="28"/>
          <w:szCs w:val="28"/>
        </w:rPr>
      </w:pPr>
    </w:p>
    <w:p w14:paraId="7C58B1FA" w14:textId="77777777" w:rsidR="00506435"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the assessment of exam tasks</w:t>
      </w:r>
    </w:p>
    <w:tbl>
      <w:tblPr>
        <w:tblStyle w:val="aff0"/>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506435" w14:paraId="44EC676A"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1B0B76F"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37A01A8"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A9E45E7"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Criteria</w:t>
            </w:r>
          </w:p>
        </w:tc>
      </w:tr>
      <w:tr w:rsidR="00506435" w14:paraId="341FA3E1"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C4825B3"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36DB15D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DE20D29"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the student has achieved the maximum score in the assessment of theoretical knowledge.</w:t>
            </w:r>
          </w:p>
        </w:tc>
      </w:tr>
      <w:tr w:rsidR="00506435" w14:paraId="0A270267"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CDEBB3E"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47C1FE75"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784BAC89"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and a sufficiently high proportion of correct answers.</w:t>
            </w:r>
          </w:p>
        </w:tc>
      </w:tr>
      <w:tr w:rsidR="00506435" w14:paraId="6BCEB1A3"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1593DBFF"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46B906A"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D9016FD"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an average number of correct answers; the student has demonstrated theoretical knowledge with significant errors.</w:t>
            </w:r>
          </w:p>
        </w:tc>
      </w:tr>
      <w:tr w:rsidR="00506435" w14:paraId="494925E0"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381B039"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51527E35" w14:textId="77777777" w:rsidR="00506435"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64C088B3" w14:textId="77777777" w:rsidR="00506435"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not completed; the student has demonstrated theoretical knowledge with major errors.</w:t>
            </w:r>
          </w:p>
        </w:tc>
      </w:tr>
    </w:tbl>
    <w:p w14:paraId="163EDCF7" w14:textId="77777777" w:rsidR="00506435" w:rsidRDefault="00506435">
      <w:pPr>
        <w:spacing w:line="240" w:lineRule="auto"/>
        <w:ind w:firstLine="720"/>
        <w:jc w:val="both"/>
        <w:rPr>
          <w:rFonts w:ascii="Times New Roman" w:eastAsia="Times New Roman" w:hAnsi="Times New Roman" w:cs="Times New Roman"/>
          <w:color w:val="000000"/>
          <w:sz w:val="28"/>
          <w:szCs w:val="28"/>
        </w:rPr>
      </w:pPr>
    </w:p>
    <w:p w14:paraId="04AFBA5D"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additional (individual) types of educational activities.</w:t>
      </w:r>
      <w:r>
        <w:rPr>
          <w:rFonts w:ascii="Times New Roman" w:eastAsia="Times New Roman" w:hAnsi="Times New Roman" w:cs="Times New Roman"/>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648D31F6"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17C2A2B4"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Incentive points are not mandatory and are not included in the standard point distribution table or the main assessment scale.</w:t>
      </w:r>
    </w:p>
    <w:p w14:paraId="20E8A24B"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single event may serve as the basis for awarding incentive points for only one educational component – the one to which it is most relevant.</w:t>
      </w:r>
    </w:p>
    <w:p w14:paraId="17A6D4FD"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p>
    <w:p w14:paraId="7645BB29"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independent work</w:t>
      </w:r>
    </w:p>
    <w:p w14:paraId="6C29F825"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rFonts w:ascii="Times New Roman" w:eastAsia="Times New Roman" w:hAnsi="Times New Roman" w:cs="Times New Roman"/>
          <w:color w:val="000000"/>
          <w:sz w:val="28"/>
          <w:szCs w:val="28"/>
        </w:rPr>
        <w:t>points</w:t>
      </w:r>
      <w:proofErr w:type="gramEnd"/>
      <w:r>
        <w:rPr>
          <w:rFonts w:ascii="Times New Roman" w:eastAsia="Times New Roman" w:hAnsi="Times New Roman" w:cs="Times New Roman"/>
          <w:color w:val="000000"/>
          <w:sz w:val="28"/>
          <w:szCs w:val="28"/>
        </w:rPr>
        <w:t xml:space="preserve"> using standardized and generalized knowledge assessment criteria.</w:t>
      </w:r>
    </w:p>
    <w:p w14:paraId="2121A525"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22C9401B"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Scale for evaluating the performance of independent work (individual tasks)</w:t>
      </w:r>
    </w:p>
    <w:tbl>
      <w:tblPr>
        <w:tblStyle w:val="aff1"/>
        <w:tblW w:w="9481" w:type="dxa"/>
        <w:tblInd w:w="-60" w:type="dxa"/>
        <w:tblLayout w:type="fixed"/>
        <w:tblLook w:val="0000" w:firstRow="0" w:lastRow="0" w:firstColumn="0" w:lastColumn="0" w:noHBand="0" w:noVBand="0"/>
      </w:tblPr>
      <w:tblGrid>
        <w:gridCol w:w="2592"/>
        <w:gridCol w:w="1689"/>
        <w:gridCol w:w="1509"/>
        <w:gridCol w:w="1710"/>
        <w:gridCol w:w="1981"/>
      </w:tblGrid>
      <w:tr w:rsidR="00506435" w14:paraId="7C9F6EFC" w14:textId="77777777">
        <w:tc>
          <w:tcPr>
            <w:tcW w:w="2592" w:type="dxa"/>
            <w:vMerge w:val="restart"/>
            <w:tcBorders>
              <w:top w:val="single" w:sz="4" w:space="0" w:color="000000"/>
              <w:left w:val="single" w:sz="4" w:space="0" w:color="000000"/>
              <w:bottom w:val="single" w:sz="4" w:space="0" w:color="000000"/>
            </w:tcBorders>
          </w:tcPr>
          <w:p w14:paraId="1DAD001C" w14:textId="77777777" w:rsidR="00506435"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10EA03C6"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Execution level</w:t>
            </w:r>
          </w:p>
        </w:tc>
      </w:tr>
      <w:tr w:rsidR="00506435" w14:paraId="393CA07B" w14:textId="77777777">
        <w:tc>
          <w:tcPr>
            <w:tcW w:w="2592" w:type="dxa"/>
            <w:vMerge/>
            <w:tcBorders>
              <w:top w:val="single" w:sz="4" w:space="0" w:color="000000"/>
              <w:left w:val="single" w:sz="4" w:space="0" w:color="000000"/>
              <w:bottom w:val="single" w:sz="4" w:space="0" w:color="000000"/>
            </w:tcBorders>
          </w:tcPr>
          <w:p w14:paraId="0B71B243"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1689" w:type="dxa"/>
            <w:tcBorders>
              <w:left w:val="single" w:sz="4" w:space="0" w:color="000000"/>
              <w:bottom w:val="single" w:sz="4" w:space="0" w:color="000000"/>
            </w:tcBorders>
            <w:vAlign w:val="center"/>
          </w:tcPr>
          <w:p w14:paraId="23D0596E"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1509" w:type="dxa"/>
            <w:tcBorders>
              <w:left w:val="single" w:sz="4" w:space="0" w:color="000000"/>
              <w:bottom w:val="single" w:sz="4" w:space="0" w:color="000000"/>
            </w:tcBorders>
            <w:vAlign w:val="center"/>
          </w:tcPr>
          <w:p w14:paraId="0B03A76F"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1710" w:type="dxa"/>
            <w:tcBorders>
              <w:left w:val="single" w:sz="4" w:space="0" w:color="000000"/>
              <w:bottom w:val="single" w:sz="4" w:space="0" w:color="000000"/>
            </w:tcBorders>
            <w:vAlign w:val="center"/>
          </w:tcPr>
          <w:p w14:paraId="263AF1F7"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3E6163C0"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w:t>
            </w:r>
          </w:p>
        </w:tc>
      </w:tr>
      <w:tr w:rsidR="00506435" w14:paraId="043E8189" w14:textId="77777777">
        <w:tc>
          <w:tcPr>
            <w:tcW w:w="2592" w:type="dxa"/>
            <w:tcBorders>
              <w:left w:val="single" w:sz="4" w:space="0" w:color="000000"/>
              <w:bottom w:val="single" w:sz="4" w:space="0" w:color="000000"/>
            </w:tcBorders>
          </w:tcPr>
          <w:p w14:paraId="65E55F74"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689" w:type="dxa"/>
            <w:tcBorders>
              <w:left w:val="single" w:sz="4" w:space="0" w:color="000000"/>
              <w:bottom w:val="single" w:sz="4" w:space="0" w:color="000000"/>
            </w:tcBorders>
          </w:tcPr>
          <w:p w14:paraId="2B8BDE00"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509" w:type="dxa"/>
            <w:tcBorders>
              <w:left w:val="single" w:sz="4" w:space="0" w:color="000000"/>
              <w:bottom w:val="single" w:sz="4" w:space="0" w:color="000000"/>
            </w:tcBorders>
          </w:tcPr>
          <w:p w14:paraId="2FD07F51"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0,75</w:t>
            </w:r>
          </w:p>
        </w:tc>
        <w:tc>
          <w:tcPr>
            <w:tcW w:w="1710" w:type="dxa"/>
            <w:tcBorders>
              <w:left w:val="single" w:sz="4" w:space="0" w:color="000000"/>
              <w:bottom w:val="single" w:sz="4" w:space="0" w:color="000000"/>
            </w:tcBorders>
          </w:tcPr>
          <w:p w14:paraId="6CB10DAE"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0,5</w:t>
            </w:r>
          </w:p>
        </w:tc>
        <w:tc>
          <w:tcPr>
            <w:tcW w:w="1981" w:type="dxa"/>
            <w:tcBorders>
              <w:left w:val="single" w:sz="4" w:space="0" w:color="000000"/>
              <w:bottom w:val="single" w:sz="4" w:space="0" w:color="000000"/>
              <w:right w:val="single" w:sz="4" w:space="0" w:color="000000"/>
            </w:tcBorders>
          </w:tcPr>
          <w:p w14:paraId="5F66C272" w14:textId="77777777" w:rsidR="00506435"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r>
    </w:tbl>
    <w:p w14:paraId="6CFC0A62"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1C27327D"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26C893A5"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assess the learning outcomes of a student during the semester, a 100-point, national and ECTS assessment scale is used</w:t>
      </w:r>
    </w:p>
    <w:p w14:paraId="77D4D730" w14:textId="77777777" w:rsidR="00506435" w:rsidRDefault="00506435">
      <w:pPr>
        <w:spacing w:line="240" w:lineRule="auto"/>
        <w:ind w:firstLine="720"/>
        <w:jc w:val="both"/>
        <w:rPr>
          <w:rFonts w:ascii="Times New Roman" w:eastAsia="Times New Roman" w:hAnsi="Times New Roman" w:cs="Times New Roman"/>
          <w:color w:val="000000"/>
          <w:sz w:val="28"/>
          <w:szCs w:val="28"/>
        </w:rPr>
      </w:pPr>
    </w:p>
    <w:p w14:paraId="3B5039C2"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Summary assessment scale: national and ECTS</w:t>
      </w:r>
    </w:p>
    <w:tbl>
      <w:tblPr>
        <w:tblStyle w:val="aff2"/>
        <w:tblW w:w="9624" w:type="dxa"/>
        <w:tblInd w:w="10" w:type="dxa"/>
        <w:tblLayout w:type="fixed"/>
        <w:tblLook w:val="0000" w:firstRow="0" w:lastRow="0" w:firstColumn="0" w:lastColumn="0" w:noHBand="0" w:noVBand="0"/>
      </w:tblPr>
      <w:tblGrid>
        <w:gridCol w:w="1970"/>
        <w:gridCol w:w="1540"/>
        <w:gridCol w:w="3581"/>
        <w:gridCol w:w="2533"/>
      </w:tblGrid>
      <w:tr w:rsidR="00506435" w14:paraId="1F312BCE"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0FC4A1EB"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05847111"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44F25199"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r>
      <w:tr w:rsidR="00506435" w14:paraId="67E0BEBF" w14:textId="77777777">
        <w:trPr>
          <w:trHeight w:val="1200"/>
        </w:trPr>
        <w:tc>
          <w:tcPr>
            <w:tcW w:w="1970" w:type="dxa"/>
            <w:vMerge/>
            <w:tcBorders>
              <w:top w:val="single" w:sz="4" w:space="0" w:color="000000"/>
              <w:left w:val="single" w:sz="4" w:space="0" w:color="000000"/>
            </w:tcBorders>
            <w:shd w:val="clear" w:color="auto" w:fill="FFFFFF"/>
            <w:vAlign w:val="center"/>
          </w:tcPr>
          <w:p w14:paraId="3C6A53C7"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561CE03E"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3581" w:type="dxa"/>
            <w:tcBorders>
              <w:top w:val="single" w:sz="4" w:space="0" w:color="000000"/>
              <w:left w:val="single" w:sz="4" w:space="0" w:color="000000"/>
            </w:tcBorders>
            <w:shd w:val="clear" w:color="auto" w:fill="FFFFFF"/>
            <w:vAlign w:val="center"/>
          </w:tcPr>
          <w:p w14:paraId="2CD39A65"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4CD6CF6F"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 pass/fail (credit)</w:t>
            </w:r>
          </w:p>
        </w:tc>
      </w:tr>
      <w:tr w:rsidR="00506435" w14:paraId="14A35381" w14:textId="77777777">
        <w:trPr>
          <w:trHeight w:val="362"/>
        </w:trPr>
        <w:tc>
          <w:tcPr>
            <w:tcW w:w="1970" w:type="dxa"/>
            <w:tcBorders>
              <w:top w:val="single" w:sz="4" w:space="0" w:color="000000"/>
              <w:left w:val="single" w:sz="4" w:space="0" w:color="000000"/>
            </w:tcBorders>
            <w:shd w:val="clear" w:color="auto" w:fill="FFFFFF"/>
          </w:tcPr>
          <w:p w14:paraId="34029508"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90 – 100</w:t>
            </w:r>
          </w:p>
        </w:tc>
        <w:tc>
          <w:tcPr>
            <w:tcW w:w="1540" w:type="dxa"/>
            <w:tcBorders>
              <w:top w:val="single" w:sz="4" w:space="0" w:color="000000"/>
              <w:left w:val="single" w:sz="4" w:space="0" w:color="000000"/>
            </w:tcBorders>
            <w:shd w:val="clear" w:color="auto" w:fill="FFFFFF"/>
          </w:tcPr>
          <w:p w14:paraId="621C201B"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p>
        </w:tc>
        <w:tc>
          <w:tcPr>
            <w:tcW w:w="3581" w:type="dxa"/>
            <w:tcBorders>
              <w:top w:val="single" w:sz="4" w:space="0" w:color="000000"/>
              <w:left w:val="single" w:sz="4" w:space="0" w:color="000000"/>
            </w:tcBorders>
            <w:shd w:val="clear" w:color="auto" w:fill="FFFFFF"/>
          </w:tcPr>
          <w:p w14:paraId="6C08A198"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222C32BD"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pass</w:t>
            </w:r>
          </w:p>
        </w:tc>
      </w:tr>
      <w:tr w:rsidR="00506435" w14:paraId="671E953F" w14:textId="77777777">
        <w:trPr>
          <w:trHeight w:val="357"/>
        </w:trPr>
        <w:tc>
          <w:tcPr>
            <w:tcW w:w="1970" w:type="dxa"/>
            <w:tcBorders>
              <w:top w:val="single" w:sz="4" w:space="0" w:color="000000"/>
              <w:left w:val="single" w:sz="4" w:space="0" w:color="000000"/>
            </w:tcBorders>
            <w:shd w:val="clear" w:color="auto" w:fill="FFFFFF"/>
          </w:tcPr>
          <w:p w14:paraId="58C74358"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82 – 89</w:t>
            </w:r>
          </w:p>
        </w:tc>
        <w:tc>
          <w:tcPr>
            <w:tcW w:w="1540" w:type="dxa"/>
            <w:tcBorders>
              <w:top w:val="single" w:sz="4" w:space="0" w:color="000000"/>
              <w:left w:val="single" w:sz="4" w:space="0" w:color="000000"/>
            </w:tcBorders>
            <w:shd w:val="clear" w:color="auto" w:fill="FFFFFF"/>
          </w:tcPr>
          <w:p w14:paraId="6F6F6BBF"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w:t>
            </w:r>
          </w:p>
        </w:tc>
        <w:tc>
          <w:tcPr>
            <w:tcW w:w="3581" w:type="dxa"/>
            <w:vMerge w:val="restart"/>
            <w:tcBorders>
              <w:top w:val="single" w:sz="4" w:space="0" w:color="000000"/>
              <w:left w:val="single" w:sz="4" w:space="0" w:color="000000"/>
            </w:tcBorders>
            <w:shd w:val="clear" w:color="auto" w:fill="FFFFFF"/>
          </w:tcPr>
          <w:p w14:paraId="208563FE"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3859C670"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506435" w14:paraId="1ABA3D0A" w14:textId="77777777">
        <w:trPr>
          <w:trHeight w:val="353"/>
        </w:trPr>
        <w:tc>
          <w:tcPr>
            <w:tcW w:w="1970" w:type="dxa"/>
            <w:tcBorders>
              <w:top w:val="single" w:sz="4" w:space="0" w:color="000000"/>
              <w:left w:val="single" w:sz="4" w:space="0" w:color="000000"/>
            </w:tcBorders>
            <w:shd w:val="clear" w:color="auto" w:fill="FFFFFF"/>
          </w:tcPr>
          <w:p w14:paraId="1B507492"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75 – 81</w:t>
            </w:r>
          </w:p>
        </w:tc>
        <w:tc>
          <w:tcPr>
            <w:tcW w:w="1540" w:type="dxa"/>
            <w:tcBorders>
              <w:top w:val="single" w:sz="4" w:space="0" w:color="000000"/>
              <w:left w:val="single" w:sz="4" w:space="0" w:color="000000"/>
            </w:tcBorders>
            <w:shd w:val="clear" w:color="auto" w:fill="FFFFFF"/>
          </w:tcPr>
          <w:p w14:paraId="7894C0FB"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p>
        </w:tc>
        <w:tc>
          <w:tcPr>
            <w:tcW w:w="3581" w:type="dxa"/>
            <w:vMerge/>
            <w:tcBorders>
              <w:top w:val="single" w:sz="4" w:space="0" w:color="000000"/>
              <w:left w:val="single" w:sz="4" w:space="0" w:color="000000"/>
            </w:tcBorders>
            <w:shd w:val="clear" w:color="auto" w:fill="FFFFFF"/>
          </w:tcPr>
          <w:p w14:paraId="7DBC4302"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3A639E3C"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506435" w14:paraId="53E90B8C" w14:textId="77777777">
        <w:trPr>
          <w:trHeight w:val="364"/>
        </w:trPr>
        <w:tc>
          <w:tcPr>
            <w:tcW w:w="1970" w:type="dxa"/>
            <w:tcBorders>
              <w:top w:val="single" w:sz="4" w:space="0" w:color="000000"/>
              <w:left w:val="single" w:sz="4" w:space="0" w:color="000000"/>
            </w:tcBorders>
            <w:shd w:val="clear" w:color="auto" w:fill="FFFFFF"/>
          </w:tcPr>
          <w:p w14:paraId="75C468EB"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68 – 74</w:t>
            </w:r>
          </w:p>
        </w:tc>
        <w:tc>
          <w:tcPr>
            <w:tcW w:w="1540" w:type="dxa"/>
            <w:tcBorders>
              <w:top w:val="single" w:sz="4" w:space="0" w:color="000000"/>
              <w:left w:val="single" w:sz="4" w:space="0" w:color="000000"/>
            </w:tcBorders>
            <w:shd w:val="clear" w:color="auto" w:fill="FFFFFF"/>
          </w:tcPr>
          <w:p w14:paraId="0AF9F9BC"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w:t>
            </w:r>
          </w:p>
        </w:tc>
        <w:tc>
          <w:tcPr>
            <w:tcW w:w="3581" w:type="dxa"/>
            <w:vMerge w:val="restart"/>
            <w:tcBorders>
              <w:top w:val="single" w:sz="4" w:space="0" w:color="000000"/>
              <w:left w:val="single" w:sz="4" w:space="0" w:color="000000"/>
            </w:tcBorders>
            <w:shd w:val="clear" w:color="auto" w:fill="FFFFFF"/>
          </w:tcPr>
          <w:p w14:paraId="32EE463D"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7A095AB0"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506435" w14:paraId="516607EF" w14:textId="77777777">
        <w:trPr>
          <w:trHeight w:val="344"/>
        </w:trPr>
        <w:tc>
          <w:tcPr>
            <w:tcW w:w="1970" w:type="dxa"/>
            <w:tcBorders>
              <w:top w:val="single" w:sz="4" w:space="0" w:color="000000"/>
              <w:left w:val="single" w:sz="4" w:space="0" w:color="000000"/>
            </w:tcBorders>
            <w:shd w:val="clear" w:color="auto" w:fill="FFFFFF"/>
          </w:tcPr>
          <w:p w14:paraId="2E6CCC35"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60 – 67</w:t>
            </w:r>
          </w:p>
        </w:tc>
        <w:tc>
          <w:tcPr>
            <w:tcW w:w="1540" w:type="dxa"/>
            <w:tcBorders>
              <w:top w:val="single" w:sz="4" w:space="0" w:color="000000"/>
              <w:left w:val="single" w:sz="4" w:space="0" w:color="000000"/>
            </w:tcBorders>
            <w:shd w:val="clear" w:color="auto" w:fill="FFFFFF"/>
          </w:tcPr>
          <w:p w14:paraId="1EE2D8A2"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w:t>
            </w:r>
          </w:p>
        </w:tc>
        <w:tc>
          <w:tcPr>
            <w:tcW w:w="3581" w:type="dxa"/>
            <w:vMerge/>
            <w:tcBorders>
              <w:top w:val="single" w:sz="4" w:space="0" w:color="000000"/>
              <w:left w:val="single" w:sz="4" w:space="0" w:color="000000"/>
            </w:tcBorders>
            <w:shd w:val="clear" w:color="auto" w:fill="FFFFFF"/>
          </w:tcPr>
          <w:p w14:paraId="7F9D8E59"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5A6AE1D1" w14:textId="77777777" w:rsidR="00506435" w:rsidRDefault="00506435">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506435" w14:paraId="27E02B63" w14:textId="77777777">
        <w:trPr>
          <w:trHeight w:val="1362"/>
        </w:trPr>
        <w:tc>
          <w:tcPr>
            <w:tcW w:w="1970" w:type="dxa"/>
            <w:tcBorders>
              <w:top w:val="single" w:sz="4" w:space="0" w:color="000000"/>
              <w:left w:val="single" w:sz="4" w:space="0" w:color="000000"/>
            </w:tcBorders>
            <w:shd w:val="clear" w:color="auto" w:fill="FFFFFF"/>
          </w:tcPr>
          <w:p w14:paraId="524B4313"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35 – 59</w:t>
            </w:r>
          </w:p>
        </w:tc>
        <w:tc>
          <w:tcPr>
            <w:tcW w:w="1540" w:type="dxa"/>
            <w:tcBorders>
              <w:top w:val="single" w:sz="4" w:space="0" w:color="000000"/>
              <w:left w:val="single" w:sz="4" w:space="0" w:color="000000"/>
            </w:tcBorders>
            <w:shd w:val="clear" w:color="auto" w:fill="FFFFFF"/>
          </w:tcPr>
          <w:p w14:paraId="2C591548"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FХ</w:t>
            </w:r>
          </w:p>
        </w:tc>
        <w:tc>
          <w:tcPr>
            <w:tcW w:w="3581" w:type="dxa"/>
            <w:tcBorders>
              <w:top w:val="single" w:sz="4" w:space="0" w:color="000000"/>
              <w:left w:val="single" w:sz="4" w:space="0" w:color="000000"/>
            </w:tcBorders>
            <w:shd w:val="clear" w:color="auto" w:fill="FFFFFF"/>
          </w:tcPr>
          <w:p w14:paraId="70923BC7"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350C2C37"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2F091B9D" w14:textId="77777777" w:rsidR="00506435" w:rsidRDefault="00506435">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p>
          <w:p w14:paraId="0B752384"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r>
      <w:tr w:rsidR="00506435" w14:paraId="1ABB6411"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5DED43CA"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724E7984" w14:textId="77777777" w:rsidR="00506435"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4798B4B0"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4858A7F7"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0C309B61" w14:textId="77777777" w:rsidR="00506435" w:rsidRDefault="00506435">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p>
          <w:p w14:paraId="3FC59A40" w14:textId="77777777" w:rsidR="00506435"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r>
    </w:tbl>
    <w:p w14:paraId="21FA9959"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p>
    <w:p w14:paraId="25D9B583"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Discipline’s Policy:</w:t>
      </w:r>
    </w:p>
    <w:p w14:paraId="2C1535B0"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regularly attend lectures and practical classes;</w:t>
      </w:r>
    </w:p>
    <w:p w14:paraId="44B96546"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work systematically and actively in lectures and practical classes;</w:t>
      </w:r>
    </w:p>
    <w:p w14:paraId="176EFB16"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catch-up on missed classes;</w:t>
      </w:r>
    </w:p>
    <w:p w14:paraId="17A32781"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the tasks required by the syllabus in full and with appropriate quality;</w:t>
      </w:r>
    </w:p>
    <w:p w14:paraId="692F2F4A"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control and other independent work;</w:t>
      </w:r>
    </w:p>
    <w:p w14:paraId="52362943"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adhere to the norms of academic behaviour and ethics.</w:t>
      </w:r>
    </w:p>
    <w:p w14:paraId="02D9C117"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76D14959"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academic discipline “</w:t>
      </w:r>
      <w:r>
        <w:rPr>
          <w:rFonts w:ascii="Times New Roman" w:eastAsia="Times New Roman" w:hAnsi="Times New Roman" w:cs="Times New Roman"/>
          <w:sz w:val="28"/>
          <w:szCs w:val="28"/>
        </w:rPr>
        <w:t>Modern Ukrainian Language”</w:t>
      </w:r>
      <w:r>
        <w:rPr>
          <w:rFonts w:ascii="Times New Roman" w:eastAsia="Times New Roman" w:hAnsi="Times New Roman" w:cs="Times New Roman"/>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55F7CBCD"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1E525A9B"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586AABB2" w14:textId="77777777" w:rsidR="00506435" w:rsidRDefault="00506435">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0F49BF22"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Methodological support of the academic discipline</w:t>
      </w:r>
    </w:p>
    <w:p w14:paraId="1B362B4F" w14:textId="77777777" w:rsidR="00506435"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rFonts w:ascii="Times New Roman" w:eastAsia="Times New Roman" w:hAnsi="Times New Roman" w:cs="Times New Roman"/>
          <w:sz w:val="28"/>
          <w:szCs w:val="28"/>
        </w:rPr>
        <w:t>Modern Ukrainian Language”</w:t>
      </w:r>
      <w:r>
        <w:rPr>
          <w:rFonts w:ascii="Times New Roman" w:eastAsia="Times New Roman" w:hAnsi="Times New Roman" w:cs="Times New Roman"/>
          <w:color w:val="000000"/>
          <w:sz w:val="28"/>
          <w:szCs w:val="28"/>
        </w:rPr>
        <w:t>.</w:t>
      </w:r>
    </w:p>
    <w:p w14:paraId="082832C5" w14:textId="77777777" w:rsidR="00506435" w:rsidRDefault="00506435">
      <w:pPr>
        <w:widowControl w:val="0"/>
        <w:shd w:val="clear" w:color="auto" w:fill="FFFFFF"/>
        <w:spacing w:line="240" w:lineRule="auto"/>
        <w:jc w:val="both"/>
        <w:rPr>
          <w:rFonts w:ascii="Times New Roman" w:eastAsia="Times New Roman" w:hAnsi="Times New Roman" w:cs="Times New Roman"/>
          <w:sz w:val="28"/>
          <w:szCs w:val="28"/>
        </w:rPr>
      </w:pPr>
    </w:p>
    <w:p w14:paraId="09306478" w14:textId="77777777" w:rsidR="00506435" w:rsidRDefault="00000000">
      <w:pPr>
        <w:widowControl w:val="0"/>
        <w:pBdr>
          <w:top w:val="nil"/>
          <w:left w:val="nil"/>
          <w:bottom w:val="nil"/>
          <w:right w:val="nil"/>
          <w:between w:val="nil"/>
        </w:pBdr>
        <w:tabs>
          <w:tab w:val="left" w:pos="993"/>
        </w:tabs>
        <w:spacing w:line="240" w:lineRule="auto"/>
        <w:ind w:firstLine="709"/>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Recommended sources of information:</w:t>
      </w:r>
    </w:p>
    <w:p w14:paraId="208B0C37" w14:textId="77777777" w:rsidR="00506435" w:rsidRDefault="00000000">
      <w:pPr>
        <w:widowControl w:val="0"/>
        <w:spacing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Basic literature:</w:t>
      </w:r>
    </w:p>
    <w:p w14:paraId="11604B70"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Antysurzhik</w:t>
      </w:r>
      <w:proofErr w:type="spellEnd"/>
      <w:r>
        <w:rPr>
          <w:rFonts w:ascii="Times New Roman" w:eastAsia="Times New Roman" w:hAnsi="Times New Roman" w:cs="Times New Roman"/>
          <w:color w:val="000000"/>
          <w:sz w:val="28"/>
          <w:szCs w:val="28"/>
        </w:rPr>
        <w:t xml:space="preserve">. Learning to behave politely and speak correctly / ed. by O. </w:t>
      </w:r>
      <w:proofErr w:type="spellStart"/>
      <w:r>
        <w:rPr>
          <w:rFonts w:ascii="Times New Roman" w:eastAsia="Times New Roman" w:hAnsi="Times New Roman" w:cs="Times New Roman"/>
          <w:color w:val="000000"/>
          <w:sz w:val="28"/>
          <w:szCs w:val="28"/>
        </w:rPr>
        <w:t>Serbenska</w:t>
      </w:r>
      <w:proofErr w:type="spellEnd"/>
      <w:r>
        <w:rPr>
          <w:rFonts w:ascii="Times New Roman" w:eastAsia="Times New Roman" w:hAnsi="Times New Roman" w:cs="Times New Roman"/>
          <w:color w:val="000000"/>
          <w:sz w:val="28"/>
          <w:szCs w:val="28"/>
        </w:rPr>
        <w:t xml:space="preserve">: textbook. 3rd ed., supplemented and revised. Lviv: </w:t>
      </w:r>
      <w:proofErr w:type="spellStart"/>
      <w:r>
        <w:rPr>
          <w:rFonts w:ascii="Times New Roman" w:eastAsia="Times New Roman" w:hAnsi="Times New Roman" w:cs="Times New Roman"/>
          <w:color w:val="000000"/>
          <w:sz w:val="28"/>
          <w:szCs w:val="28"/>
        </w:rPr>
        <w:t>Apriori</w:t>
      </w:r>
      <w:proofErr w:type="spellEnd"/>
      <w:r>
        <w:rPr>
          <w:rFonts w:ascii="Times New Roman" w:eastAsia="Times New Roman" w:hAnsi="Times New Roman" w:cs="Times New Roman"/>
          <w:color w:val="000000"/>
          <w:sz w:val="28"/>
          <w:szCs w:val="28"/>
        </w:rPr>
        <w:t>, 2017. 304 p.</w:t>
      </w:r>
    </w:p>
    <w:p w14:paraId="363AB6AB"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Garbar</w:t>
      </w:r>
      <w:proofErr w:type="spellEnd"/>
      <w:r>
        <w:rPr>
          <w:rFonts w:ascii="Times New Roman" w:eastAsia="Times New Roman" w:hAnsi="Times New Roman" w:cs="Times New Roman"/>
          <w:color w:val="000000"/>
          <w:sz w:val="28"/>
          <w:szCs w:val="28"/>
        </w:rPr>
        <w:t xml:space="preserve"> I. V., </w:t>
      </w:r>
      <w:proofErr w:type="spellStart"/>
      <w:r>
        <w:rPr>
          <w:rFonts w:ascii="Times New Roman" w:eastAsia="Times New Roman" w:hAnsi="Times New Roman" w:cs="Times New Roman"/>
          <w:color w:val="000000"/>
          <w:sz w:val="28"/>
          <w:szCs w:val="28"/>
        </w:rPr>
        <w:t>Garbar</w:t>
      </w:r>
      <w:proofErr w:type="spellEnd"/>
      <w:r>
        <w:rPr>
          <w:rFonts w:ascii="Times New Roman" w:eastAsia="Times New Roman" w:hAnsi="Times New Roman" w:cs="Times New Roman"/>
          <w:color w:val="000000"/>
          <w:sz w:val="28"/>
          <w:szCs w:val="28"/>
        </w:rPr>
        <w:t xml:space="preserve"> A. I. Culture of speech: textbook. Mykolaiv: NUK, 2023. 228 p.</w:t>
      </w:r>
    </w:p>
    <w:p w14:paraId="057E93B1"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Culture of Professional Speech: Textbook / Edited by N. D. Babych. Chernivtsi: Books - XXI, 2006. 496 p.</w:t>
      </w:r>
    </w:p>
    <w:p w14:paraId="63F4B169"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Lysak L. K. Ukrainian Language for Professional Purposes: Lecture Course. Kramatorsk: </w:t>
      </w:r>
      <w:proofErr w:type="spellStart"/>
      <w:r>
        <w:rPr>
          <w:rFonts w:ascii="Times New Roman" w:eastAsia="Times New Roman" w:hAnsi="Times New Roman" w:cs="Times New Roman"/>
          <w:color w:val="000000"/>
          <w:sz w:val="28"/>
          <w:szCs w:val="28"/>
        </w:rPr>
        <w:t>DonNABA</w:t>
      </w:r>
      <w:proofErr w:type="spellEnd"/>
      <w:r>
        <w:rPr>
          <w:rFonts w:ascii="Times New Roman" w:eastAsia="Times New Roman" w:hAnsi="Times New Roman" w:cs="Times New Roman"/>
          <w:color w:val="000000"/>
          <w:sz w:val="28"/>
          <w:szCs w:val="28"/>
        </w:rPr>
        <w:t xml:space="preserve">, 2020. 138 p. </w:t>
      </w:r>
    </w:p>
    <w:p w14:paraId="3D46E741"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Matsyuk</w:t>
      </w:r>
      <w:proofErr w:type="spellEnd"/>
      <w:r>
        <w:rPr>
          <w:rFonts w:ascii="Times New Roman" w:eastAsia="Times New Roman" w:hAnsi="Times New Roman" w:cs="Times New Roman"/>
          <w:color w:val="000000"/>
          <w:sz w:val="28"/>
          <w:szCs w:val="28"/>
        </w:rPr>
        <w:t xml:space="preserve"> Z., </w:t>
      </w:r>
      <w:proofErr w:type="spellStart"/>
      <w:r>
        <w:rPr>
          <w:rFonts w:ascii="Times New Roman" w:eastAsia="Times New Roman" w:hAnsi="Times New Roman" w:cs="Times New Roman"/>
          <w:color w:val="000000"/>
          <w:sz w:val="28"/>
          <w:szCs w:val="28"/>
        </w:rPr>
        <w:t>Stankevych</w:t>
      </w:r>
      <w:proofErr w:type="spellEnd"/>
      <w:r>
        <w:rPr>
          <w:rFonts w:ascii="Times New Roman" w:eastAsia="Times New Roman" w:hAnsi="Times New Roman" w:cs="Times New Roman"/>
          <w:color w:val="000000"/>
          <w:sz w:val="28"/>
          <w:szCs w:val="28"/>
        </w:rPr>
        <w:t xml:space="preserve"> N. Ukrainian Language for Professional Communication: Textbook. 7th edition. Kyiv: </w:t>
      </w:r>
      <w:proofErr w:type="spellStart"/>
      <w:r>
        <w:rPr>
          <w:rFonts w:ascii="Times New Roman" w:eastAsia="Times New Roman" w:hAnsi="Times New Roman" w:cs="Times New Roman"/>
          <w:color w:val="000000"/>
          <w:sz w:val="28"/>
          <w:szCs w:val="28"/>
        </w:rPr>
        <w:t>Karavela</w:t>
      </w:r>
      <w:proofErr w:type="spellEnd"/>
      <w:r>
        <w:rPr>
          <w:rFonts w:ascii="Times New Roman" w:eastAsia="Times New Roman" w:hAnsi="Times New Roman" w:cs="Times New Roman"/>
          <w:color w:val="000000"/>
          <w:sz w:val="28"/>
          <w:szCs w:val="28"/>
        </w:rPr>
        <w:t>, 2022. 352 p</w:t>
      </w:r>
      <w:r>
        <w:rPr>
          <w:rFonts w:ascii="Times New Roman" w:eastAsia="Times New Roman" w:hAnsi="Times New Roman" w:cs="Times New Roman"/>
          <w:b/>
          <w:bCs/>
          <w:color w:val="000000"/>
          <w:sz w:val="28"/>
          <w:szCs w:val="28"/>
        </w:rPr>
        <w:t>.</w:t>
      </w:r>
    </w:p>
    <w:p w14:paraId="642287D8"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Mats'ko</w:t>
      </w:r>
      <w:proofErr w:type="spellEnd"/>
      <w:r>
        <w:rPr>
          <w:rFonts w:ascii="Times New Roman" w:eastAsia="Times New Roman" w:hAnsi="Times New Roman" w:cs="Times New Roman"/>
          <w:color w:val="000000"/>
          <w:sz w:val="28"/>
          <w:szCs w:val="28"/>
        </w:rPr>
        <w:t xml:space="preserve"> JI. I., Kravets JI. V. Culture of Ukrainian Professional Language: Textbook. Kyiv: VTs "</w:t>
      </w:r>
      <w:proofErr w:type="spellStart"/>
      <w:r>
        <w:rPr>
          <w:rFonts w:ascii="Times New Roman" w:eastAsia="Times New Roman" w:hAnsi="Times New Roman" w:cs="Times New Roman"/>
          <w:color w:val="000000"/>
          <w:sz w:val="28"/>
          <w:szCs w:val="28"/>
        </w:rPr>
        <w:t>Akademiia</w:t>
      </w:r>
      <w:proofErr w:type="spellEnd"/>
      <w:r>
        <w:rPr>
          <w:rFonts w:ascii="Times New Roman" w:eastAsia="Times New Roman" w:hAnsi="Times New Roman" w:cs="Times New Roman"/>
          <w:color w:val="000000"/>
          <w:sz w:val="28"/>
          <w:szCs w:val="28"/>
        </w:rPr>
        <w:t>", 2007. 360 p.</w:t>
      </w:r>
    </w:p>
    <w:p w14:paraId="1BC26481"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Norms of Modern Ukrainian Literary Language: Methodological Guide / Compiled by: </w:t>
      </w:r>
      <w:proofErr w:type="spellStart"/>
      <w:r>
        <w:rPr>
          <w:rFonts w:ascii="Times New Roman" w:eastAsia="Times New Roman" w:hAnsi="Times New Roman" w:cs="Times New Roman"/>
          <w:color w:val="000000"/>
          <w:sz w:val="28"/>
          <w:szCs w:val="28"/>
        </w:rPr>
        <w:t>Nazarevych</w:t>
      </w:r>
      <w:proofErr w:type="spellEnd"/>
      <w:r>
        <w:rPr>
          <w:rFonts w:ascii="Times New Roman" w:eastAsia="Times New Roman" w:hAnsi="Times New Roman" w:cs="Times New Roman"/>
          <w:color w:val="000000"/>
          <w:sz w:val="28"/>
          <w:szCs w:val="28"/>
        </w:rPr>
        <w:t xml:space="preserve"> L. T., </w:t>
      </w:r>
      <w:proofErr w:type="spellStart"/>
      <w:r>
        <w:rPr>
          <w:rFonts w:ascii="Times New Roman" w:eastAsia="Times New Roman" w:hAnsi="Times New Roman" w:cs="Times New Roman"/>
          <w:color w:val="000000"/>
          <w:sz w:val="28"/>
          <w:szCs w:val="28"/>
        </w:rPr>
        <w:t>Ravliv</w:t>
      </w:r>
      <w:proofErr w:type="spellEnd"/>
      <w:r>
        <w:rPr>
          <w:rFonts w:ascii="Times New Roman" w:eastAsia="Times New Roman" w:hAnsi="Times New Roman" w:cs="Times New Roman"/>
          <w:color w:val="000000"/>
          <w:sz w:val="28"/>
          <w:szCs w:val="28"/>
        </w:rPr>
        <w:t xml:space="preserve"> I. P., Fedak S. A., </w:t>
      </w:r>
      <w:proofErr w:type="spellStart"/>
      <w:r>
        <w:rPr>
          <w:rFonts w:ascii="Times New Roman" w:eastAsia="Times New Roman" w:hAnsi="Times New Roman" w:cs="Times New Roman"/>
          <w:color w:val="000000"/>
          <w:sz w:val="28"/>
          <w:szCs w:val="28"/>
        </w:rPr>
        <w:t>Gavdyda</w:t>
      </w:r>
      <w:proofErr w:type="spellEnd"/>
      <w:r>
        <w:rPr>
          <w:rFonts w:ascii="Times New Roman" w:eastAsia="Times New Roman" w:hAnsi="Times New Roman" w:cs="Times New Roman"/>
          <w:color w:val="000000"/>
          <w:sz w:val="28"/>
          <w:szCs w:val="28"/>
        </w:rPr>
        <w:t xml:space="preserve"> N. I., Babiak </w:t>
      </w:r>
      <w:proofErr w:type="spellStart"/>
      <w:r>
        <w:rPr>
          <w:rFonts w:ascii="Times New Roman" w:eastAsia="Times New Roman" w:hAnsi="Times New Roman" w:cs="Times New Roman"/>
          <w:color w:val="000000"/>
          <w:sz w:val="28"/>
          <w:szCs w:val="28"/>
        </w:rPr>
        <w:t>Zh</w:t>
      </w:r>
      <w:proofErr w:type="spellEnd"/>
      <w:r>
        <w:rPr>
          <w:rFonts w:ascii="Times New Roman" w:eastAsia="Times New Roman" w:hAnsi="Times New Roman" w:cs="Times New Roman"/>
          <w:color w:val="000000"/>
          <w:sz w:val="28"/>
          <w:szCs w:val="28"/>
        </w:rPr>
        <w:t xml:space="preserve">. V., Denysiuk N. R., </w:t>
      </w:r>
      <w:proofErr w:type="spellStart"/>
      <w:r>
        <w:rPr>
          <w:rFonts w:ascii="Times New Roman" w:eastAsia="Times New Roman" w:hAnsi="Times New Roman" w:cs="Times New Roman"/>
          <w:color w:val="000000"/>
          <w:sz w:val="28"/>
          <w:szCs w:val="28"/>
        </w:rPr>
        <w:t>Matsiuk</w:t>
      </w:r>
      <w:proofErr w:type="spellEnd"/>
      <w:r>
        <w:rPr>
          <w:rFonts w:ascii="Times New Roman" w:eastAsia="Times New Roman" w:hAnsi="Times New Roman" w:cs="Times New Roman"/>
          <w:color w:val="000000"/>
          <w:sz w:val="28"/>
          <w:szCs w:val="28"/>
        </w:rPr>
        <w:t xml:space="preserve"> H. R. Ternopil: Vector, 2019. 78 p. </w:t>
      </w:r>
    </w:p>
    <w:p w14:paraId="0B966615"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On ensuring the functioning of the Ukrainian language as the state language: Law of Ukraine No. 2704-VIII of 25 April 2019. URL:</w:t>
      </w:r>
      <w:hyperlink r:id="rId9" w:anchor="Text">
        <w:r>
          <w:rPr>
            <w:rFonts w:ascii="Times New Roman" w:eastAsia="Times New Roman" w:hAnsi="Times New Roman" w:cs="Times New Roman"/>
            <w:color w:val="000000"/>
            <w:sz w:val="28"/>
            <w:szCs w:val="28"/>
            <w:u w:val="single"/>
          </w:rPr>
          <w:t xml:space="preserve"> https://zakon.rada.gov.ua/laws/show/2704-19#Text</w:t>
        </w:r>
      </w:hyperlink>
      <w:r>
        <w:rPr>
          <w:rFonts w:ascii="Times New Roman" w:eastAsia="Times New Roman" w:hAnsi="Times New Roman" w:cs="Times New Roman"/>
          <w:color w:val="000000"/>
          <w:sz w:val="28"/>
          <w:szCs w:val="28"/>
        </w:rPr>
        <w:t xml:space="preserve"> </w:t>
      </w:r>
    </w:p>
    <w:p w14:paraId="23D6F678"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Rezvan O. O., </w:t>
      </w:r>
      <w:proofErr w:type="spellStart"/>
      <w:r>
        <w:rPr>
          <w:rFonts w:ascii="Times New Roman" w:eastAsia="Times New Roman" w:hAnsi="Times New Roman" w:cs="Times New Roman"/>
          <w:color w:val="000000"/>
          <w:sz w:val="28"/>
          <w:szCs w:val="28"/>
        </w:rPr>
        <w:t>Prykhodko</w:t>
      </w:r>
      <w:proofErr w:type="spellEnd"/>
      <w:r>
        <w:rPr>
          <w:rFonts w:ascii="Times New Roman" w:eastAsia="Times New Roman" w:hAnsi="Times New Roman" w:cs="Times New Roman"/>
          <w:color w:val="000000"/>
          <w:sz w:val="28"/>
          <w:szCs w:val="28"/>
        </w:rPr>
        <w:t xml:space="preserve"> A. M. Modern Ukrainian Literary Language. Part 1: Lecture notes for second-year students of the first (bachelor's) level of higher education in the specialty 035 – Philology; Kharkiv National University of Municipal Economy named after O. M. Beketov. Kharkiv: KNU named after O. M. Beketov, 2021. 172 p.</w:t>
      </w:r>
    </w:p>
    <w:p w14:paraId="08BA0DF9"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Ukrainian Spelling / National Academy of Sciences of Ukraine, O. O. </w:t>
      </w:r>
      <w:proofErr w:type="spellStart"/>
      <w:r>
        <w:rPr>
          <w:rFonts w:ascii="Times New Roman" w:eastAsia="Times New Roman" w:hAnsi="Times New Roman" w:cs="Times New Roman"/>
          <w:color w:val="000000"/>
          <w:sz w:val="28"/>
          <w:szCs w:val="28"/>
        </w:rPr>
        <w:t>Potebnia</w:t>
      </w:r>
      <w:proofErr w:type="spellEnd"/>
      <w:r>
        <w:rPr>
          <w:rFonts w:ascii="Times New Roman" w:eastAsia="Times New Roman" w:hAnsi="Times New Roman" w:cs="Times New Roman"/>
          <w:color w:val="000000"/>
          <w:sz w:val="28"/>
          <w:szCs w:val="28"/>
        </w:rPr>
        <w:t xml:space="preserve"> Institute of Linguistics; Institute of the Ukrainian Language; Ukrainian Language and Information Fund. Kyiv: </w:t>
      </w:r>
      <w:proofErr w:type="spellStart"/>
      <w:r>
        <w:rPr>
          <w:rFonts w:ascii="Times New Roman" w:eastAsia="Times New Roman" w:hAnsi="Times New Roman" w:cs="Times New Roman"/>
          <w:color w:val="000000"/>
          <w:sz w:val="28"/>
          <w:szCs w:val="28"/>
        </w:rPr>
        <w:t>Naukova</w:t>
      </w:r>
      <w:proofErr w:type="spellEnd"/>
      <w:r>
        <w:rPr>
          <w:rFonts w:ascii="Times New Roman" w:eastAsia="Times New Roman" w:hAnsi="Times New Roman" w:cs="Times New Roman"/>
          <w:color w:val="000000"/>
          <w:sz w:val="28"/>
          <w:szCs w:val="28"/>
        </w:rPr>
        <w:t xml:space="preserve"> Dumka, 2019. 392 p. URL:</w:t>
      </w:r>
      <w:hyperlink r:id="rId10">
        <w:r>
          <w:rPr>
            <w:rFonts w:ascii="Times New Roman" w:eastAsia="Times New Roman" w:hAnsi="Times New Roman" w:cs="Times New Roman"/>
            <w:color w:val="000000"/>
            <w:sz w:val="28"/>
            <w:szCs w:val="28"/>
            <w:u w:val="single"/>
          </w:rPr>
          <w:t xml:space="preserve"> https://mon.gov.ua/storage/app/media/zagalna%20serednya/Pravopys.2019/ukr.pravopys-2019.pdf</w:t>
        </w:r>
      </w:hyperlink>
      <w:r>
        <w:rPr>
          <w:rFonts w:ascii="Times New Roman" w:eastAsia="Times New Roman" w:hAnsi="Times New Roman" w:cs="Times New Roman"/>
          <w:color w:val="000000"/>
          <w:sz w:val="28"/>
          <w:szCs w:val="28"/>
        </w:rPr>
        <w:t xml:space="preserve"> </w:t>
      </w:r>
    </w:p>
    <w:p w14:paraId="64B6BBA8" w14:textId="77777777" w:rsidR="00506435" w:rsidRDefault="00000000">
      <w:pPr>
        <w:widowControl w:val="0"/>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Shevchuk, S. Ukrainian Language for Professional Purposes: Textbook. Kyiv: </w:t>
      </w:r>
      <w:proofErr w:type="spellStart"/>
      <w:r>
        <w:rPr>
          <w:rFonts w:ascii="Times New Roman" w:eastAsia="Times New Roman" w:hAnsi="Times New Roman" w:cs="Times New Roman"/>
          <w:color w:val="000000"/>
          <w:sz w:val="28"/>
          <w:szCs w:val="28"/>
        </w:rPr>
        <w:t>Alerta</w:t>
      </w:r>
      <w:proofErr w:type="spellEnd"/>
      <w:r>
        <w:rPr>
          <w:rFonts w:ascii="Times New Roman" w:eastAsia="Times New Roman" w:hAnsi="Times New Roman" w:cs="Times New Roman"/>
          <w:color w:val="000000"/>
          <w:sz w:val="28"/>
          <w:szCs w:val="28"/>
        </w:rPr>
        <w:t>, 2023. 536 p.</w:t>
      </w:r>
    </w:p>
    <w:p w14:paraId="514A10B2" w14:textId="77777777" w:rsidR="00506435" w:rsidRDefault="00506435">
      <w:pPr>
        <w:widowControl w:val="0"/>
        <w:spacing w:line="240" w:lineRule="auto"/>
        <w:rPr>
          <w:rFonts w:ascii="Times New Roman" w:eastAsia="Times New Roman" w:hAnsi="Times New Roman" w:cs="Times New Roman"/>
          <w:b/>
          <w:bCs/>
          <w:sz w:val="28"/>
          <w:szCs w:val="28"/>
        </w:rPr>
      </w:pPr>
    </w:p>
    <w:p w14:paraId="216F4F63" w14:textId="77777777" w:rsidR="00506435" w:rsidRDefault="00000000">
      <w:pPr>
        <w:widowControl w:val="0"/>
        <w:spacing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Additional literature:</w:t>
      </w:r>
    </w:p>
    <w:p w14:paraId="464550D2"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Avramenko, O. It Was – It Became. Changes in Spelling. Kyiv: Darinka, 2019. 40 p.</w:t>
      </w:r>
    </w:p>
    <w:p w14:paraId="6C3A698B"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Avramenko, O., Tishchenko, O. Ukrainian language. Spelling in tables, test tasks. Kyiv: </w:t>
      </w:r>
      <w:proofErr w:type="spellStart"/>
      <w:r>
        <w:rPr>
          <w:rFonts w:ascii="Times New Roman" w:eastAsia="Times New Roman" w:hAnsi="Times New Roman" w:cs="Times New Roman"/>
          <w:color w:val="000000"/>
          <w:sz w:val="28"/>
          <w:szCs w:val="28"/>
        </w:rPr>
        <w:t>Knigolav</w:t>
      </w:r>
      <w:proofErr w:type="spellEnd"/>
      <w:r>
        <w:rPr>
          <w:rFonts w:ascii="Times New Roman" w:eastAsia="Times New Roman" w:hAnsi="Times New Roman" w:cs="Times New Roman"/>
          <w:color w:val="000000"/>
          <w:sz w:val="28"/>
          <w:szCs w:val="28"/>
        </w:rPr>
        <w:t>, 2020. 200 p.</w:t>
      </w:r>
    </w:p>
    <w:p w14:paraId="17EFF0DC"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Gdakovich</w:t>
      </w:r>
      <w:proofErr w:type="spellEnd"/>
      <w:r>
        <w:rPr>
          <w:rFonts w:ascii="Times New Roman" w:eastAsia="Times New Roman" w:hAnsi="Times New Roman" w:cs="Times New Roman"/>
          <w:color w:val="000000"/>
          <w:sz w:val="28"/>
          <w:szCs w:val="28"/>
        </w:rPr>
        <w:t xml:space="preserve"> M. S. Syntactic norms in business communication: teaching and methodological manual. Lviv: Lviv State University of Internal Affairs, 2021. 52 p.</w:t>
      </w:r>
    </w:p>
    <w:p w14:paraId="6AF7E908"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Hrytsenko, T. B. Ukrainian Language for Professional Purposes. Teaching aid. Kyiv: Centre for Educational Literature, 2010. 624 p.</w:t>
      </w:r>
    </w:p>
    <w:p w14:paraId="43B3D230"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Lecture course on the academic discipline "Fundamentals of Rhetoric" for first-level (bachelor's) higher education students of all specialities / Compiled by V. A. Grygorieva. Kharkiv: </w:t>
      </w:r>
      <w:proofErr w:type="spellStart"/>
      <w:r>
        <w:rPr>
          <w:rFonts w:ascii="Times New Roman" w:eastAsia="Times New Roman" w:hAnsi="Times New Roman" w:cs="Times New Roman"/>
          <w:color w:val="000000"/>
          <w:sz w:val="28"/>
          <w:szCs w:val="28"/>
        </w:rPr>
        <w:t>PromArt</w:t>
      </w:r>
      <w:proofErr w:type="spellEnd"/>
      <w:r>
        <w:rPr>
          <w:rFonts w:ascii="Times New Roman" w:eastAsia="Times New Roman" w:hAnsi="Times New Roman" w:cs="Times New Roman"/>
          <w:color w:val="000000"/>
          <w:sz w:val="28"/>
          <w:szCs w:val="28"/>
        </w:rPr>
        <w:t xml:space="preserve"> LLC, 2022. 128 p. </w:t>
      </w:r>
    </w:p>
    <w:p w14:paraId="6493660F"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Kosenko </w:t>
      </w:r>
      <w:proofErr w:type="spellStart"/>
      <w:r>
        <w:rPr>
          <w:rFonts w:ascii="Times New Roman" w:eastAsia="Times New Roman" w:hAnsi="Times New Roman" w:cs="Times New Roman"/>
          <w:color w:val="000000"/>
          <w:sz w:val="28"/>
          <w:szCs w:val="28"/>
        </w:rPr>
        <w:t>Yu.V</w:t>
      </w:r>
      <w:proofErr w:type="spellEnd"/>
      <w:r>
        <w:rPr>
          <w:rFonts w:ascii="Times New Roman" w:eastAsia="Times New Roman" w:hAnsi="Times New Roman" w:cs="Times New Roman"/>
          <w:color w:val="000000"/>
          <w:sz w:val="28"/>
          <w:szCs w:val="28"/>
        </w:rPr>
        <w:t>. Fundamentals of the Theory of Language Communication: Textbook. Sumy: Sumy State University, 2011. 187 p.</w:t>
      </w:r>
    </w:p>
    <w:p w14:paraId="05BF3980"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Mozgovyi</w:t>
      </w:r>
      <w:proofErr w:type="spellEnd"/>
      <w:r>
        <w:rPr>
          <w:rFonts w:ascii="Times New Roman" w:eastAsia="Times New Roman" w:hAnsi="Times New Roman" w:cs="Times New Roman"/>
          <w:color w:val="000000"/>
          <w:sz w:val="28"/>
          <w:szCs w:val="28"/>
        </w:rPr>
        <w:t>, V. I. Ukrainian Language in Professional Communication. Modular Course. 4th ed. Kyiv: Centre for Educational Literature, 2022. 592 p.</w:t>
      </w:r>
    </w:p>
    <w:p w14:paraId="140D9422"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Orthoepic Dictionary of the Ukrainian Language: in 2 volumes / compiled by: M. M. </w:t>
      </w:r>
      <w:proofErr w:type="spellStart"/>
      <w:r>
        <w:rPr>
          <w:rFonts w:ascii="Times New Roman" w:eastAsia="Times New Roman" w:hAnsi="Times New Roman" w:cs="Times New Roman"/>
          <w:color w:val="000000"/>
          <w:sz w:val="28"/>
          <w:szCs w:val="28"/>
        </w:rPr>
        <w:t>Peshchak</w:t>
      </w:r>
      <w:proofErr w:type="spellEnd"/>
      <w:r>
        <w:rPr>
          <w:rFonts w:ascii="Times New Roman" w:eastAsia="Times New Roman" w:hAnsi="Times New Roman" w:cs="Times New Roman"/>
          <w:color w:val="000000"/>
          <w:sz w:val="28"/>
          <w:szCs w:val="28"/>
        </w:rPr>
        <w:t xml:space="preserve">, V. M. Rusansky, N. M. </w:t>
      </w:r>
      <w:proofErr w:type="spellStart"/>
      <w:r>
        <w:rPr>
          <w:rFonts w:ascii="Times New Roman" w:eastAsia="Times New Roman" w:hAnsi="Times New Roman" w:cs="Times New Roman"/>
          <w:color w:val="000000"/>
          <w:sz w:val="28"/>
          <w:szCs w:val="28"/>
        </w:rPr>
        <w:t>Sologub</w:t>
      </w:r>
      <w:proofErr w:type="spellEnd"/>
      <w:r>
        <w:rPr>
          <w:rFonts w:ascii="Times New Roman" w:eastAsia="Times New Roman" w:hAnsi="Times New Roman" w:cs="Times New Roman"/>
          <w:color w:val="000000"/>
          <w:sz w:val="28"/>
          <w:szCs w:val="28"/>
        </w:rPr>
        <w:t xml:space="preserve"> et al.; edited by: M. M. </w:t>
      </w:r>
      <w:proofErr w:type="spellStart"/>
      <w:r>
        <w:rPr>
          <w:rFonts w:ascii="Times New Roman" w:eastAsia="Times New Roman" w:hAnsi="Times New Roman" w:cs="Times New Roman"/>
          <w:color w:val="000000"/>
          <w:sz w:val="28"/>
          <w:szCs w:val="28"/>
        </w:rPr>
        <w:t>Peshchak</w:t>
      </w:r>
      <w:proofErr w:type="spellEnd"/>
      <w:r>
        <w:rPr>
          <w:rFonts w:ascii="Times New Roman" w:eastAsia="Times New Roman" w:hAnsi="Times New Roman" w:cs="Times New Roman"/>
          <w:color w:val="000000"/>
          <w:sz w:val="28"/>
          <w:szCs w:val="28"/>
        </w:rPr>
        <w:t xml:space="preserve">, V. M. Rusansky. Kyiv: </w:t>
      </w:r>
      <w:proofErr w:type="spellStart"/>
      <w:r>
        <w:rPr>
          <w:rFonts w:ascii="Times New Roman" w:eastAsia="Times New Roman" w:hAnsi="Times New Roman" w:cs="Times New Roman"/>
          <w:color w:val="000000"/>
          <w:sz w:val="28"/>
          <w:szCs w:val="28"/>
        </w:rPr>
        <w:t>Dovira</w:t>
      </w:r>
      <w:proofErr w:type="spellEnd"/>
      <w:r>
        <w:rPr>
          <w:rFonts w:ascii="Times New Roman" w:eastAsia="Times New Roman" w:hAnsi="Times New Roman" w:cs="Times New Roman"/>
          <w:color w:val="000000"/>
          <w:sz w:val="28"/>
          <w:szCs w:val="28"/>
        </w:rPr>
        <w:t>, 2001–2003. Vol. 1. 2001. 955 p.; Vol. 2. 2003. 920 p.</w:t>
      </w:r>
    </w:p>
    <w:p w14:paraId="67F88B68"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Pasynok</w:t>
      </w:r>
      <w:proofErr w:type="spellEnd"/>
      <w:r>
        <w:rPr>
          <w:rFonts w:ascii="Times New Roman" w:eastAsia="Times New Roman" w:hAnsi="Times New Roman" w:cs="Times New Roman"/>
          <w:color w:val="000000"/>
          <w:sz w:val="28"/>
          <w:szCs w:val="28"/>
        </w:rPr>
        <w:t xml:space="preserve"> V. G. Fundamentals of Speech Culture: Textbook. Kharkiv: V. N. Karazin Kharkiv National University, 2011. 228 p.</w:t>
      </w:r>
    </w:p>
    <w:p w14:paraId="4508F151"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Pidgurska</w:t>
      </w:r>
      <w:proofErr w:type="spellEnd"/>
      <w:r>
        <w:rPr>
          <w:rFonts w:ascii="Times New Roman" w:eastAsia="Times New Roman" w:hAnsi="Times New Roman" w:cs="Times New Roman"/>
          <w:color w:val="000000"/>
          <w:sz w:val="28"/>
          <w:szCs w:val="28"/>
        </w:rPr>
        <w:t xml:space="preserve"> V. Yu., </w:t>
      </w:r>
      <w:proofErr w:type="spellStart"/>
      <w:r>
        <w:rPr>
          <w:rFonts w:ascii="Times New Roman" w:eastAsia="Times New Roman" w:hAnsi="Times New Roman" w:cs="Times New Roman"/>
          <w:color w:val="000000"/>
          <w:sz w:val="28"/>
          <w:szCs w:val="28"/>
        </w:rPr>
        <w:t>Golubovska</w:t>
      </w:r>
      <w:proofErr w:type="spellEnd"/>
      <w:r>
        <w:rPr>
          <w:rFonts w:ascii="Times New Roman" w:eastAsia="Times New Roman" w:hAnsi="Times New Roman" w:cs="Times New Roman"/>
          <w:color w:val="000000"/>
          <w:sz w:val="28"/>
          <w:szCs w:val="28"/>
        </w:rPr>
        <w:t xml:space="preserve"> I. V. Ukrainian Language for Professional Purposes. Textbook. Zhytomyr: I. Franko Zhytomyr State University Publishing House, 2022. 192 p.</w:t>
      </w:r>
    </w:p>
    <w:p w14:paraId="031E96C8"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Prykhodchenko</w:t>
      </w:r>
      <w:proofErr w:type="spellEnd"/>
      <w:r>
        <w:rPr>
          <w:rFonts w:ascii="Times New Roman" w:eastAsia="Times New Roman" w:hAnsi="Times New Roman" w:cs="Times New Roman"/>
          <w:color w:val="000000"/>
          <w:sz w:val="28"/>
          <w:szCs w:val="28"/>
        </w:rPr>
        <w:t xml:space="preserve"> K. I. Universal Dictionary-Reference Book: 30,000 Words and Expressions of Modern Ukrainian Language. Donetsk: BAO Publishing House, 2008. 320 p.</w:t>
      </w:r>
    </w:p>
    <w:p w14:paraId="478B2EC7"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lastRenderedPageBreak/>
        <w:t>Rakshanova</w:t>
      </w:r>
      <w:proofErr w:type="spellEnd"/>
      <w:r>
        <w:rPr>
          <w:rFonts w:ascii="Times New Roman" w:eastAsia="Times New Roman" w:hAnsi="Times New Roman" w:cs="Times New Roman"/>
          <w:color w:val="000000"/>
          <w:sz w:val="28"/>
          <w:szCs w:val="28"/>
        </w:rPr>
        <w:t xml:space="preserve"> G.F., </w:t>
      </w:r>
      <w:proofErr w:type="spellStart"/>
      <w:r>
        <w:rPr>
          <w:rFonts w:ascii="Times New Roman" w:eastAsia="Times New Roman" w:hAnsi="Times New Roman" w:cs="Times New Roman"/>
          <w:color w:val="000000"/>
          <w:sz w:val="28"/>
          <w:szCs w:val="28"/>
        </w:rPr>
        <w:t>Dyadyura</w:t>
      </w:r>
      <w:proofErr w:type="spellEnd"/>
      <w:r>
        <w:rPr>
          <w:rFonts w:ascii="Times New Roman" w:eastAsia="Times New Roman" w:hAnsi="Times New Roman" w:cs="Times New Roman"/>
          <w:color w:val="000000"/>
          <w:sz w:val="28"/>
          <w:szCs w:val="28"/>
        </w:rPr>
        <w:t xml:space="preserve"> G.M., </w:t>
      </w:r>
      <w:proofErr w:type="spellStart"/>
      <w:r>
        <w:rPr>
          <w:rFonts w:ascii="Times New Roman" w:eastAsia="Times New Roman" w:hAnsi="Times New Roman" w:cs="Times New Roman"/>
          <w:color w:val="000000"/>
          <w:sz w:val="28"/>
          <w:szCs w:val="28"/>
        </w:rPr>
        <w:t>Kukhareva</w:t>
      </w:r>
      <w:proofErr w:type="spellEnd"/>
      <w:r>
        <w:rPr>
          <w:rFonts w:ascii="Times New Roman" w:eastAsia="Times New Roman" w:hAnsi="Times New Roman" w:cs="Times New Roman"/>
          <w:color w:val="000000"/>
          <w:sz w:val="28"/>
          <w:szCs w:val="28"/>
        </w:rPr>
        <w:t xml:space="preserve">-Rozhko V.I., </w:t>
      </w:r>
      <w:proofErr w:type="spellStart"/>
      <w:r>
        <w:rPr>
          <w:rFonts w:ascii="Times New Roman" w:eastAsia="Times New Roman" w:hAnsi="Times New Roman" w:cs="Times New Roman"/>
          <w:color w:val="000000"/>
          <w:sz w:val="28"/>
          <w:szCs w:val="28"/>
        </w:rPr>
        <w:t>Sydorenko</w:t>
      </w:r>
      <w:proofErr w:type="spellEnd"/>
      <w:r>
        <w:rPr>
          <w:rFonts w:ascii="Times New Roman" w:eastAsia="Times New Roman" w:hAnsi="Times New Roman" w:cs="Times New Roman"/>
          <w:color w:val="000000"/>
          <w:sz w:val="28"/>
          <w:szCs w:val="28"/>
        </w:rPr>
        <w:t xml:space="preserve"> L.M. Ukrainian Language (for Professional Purposes). Lecture Course: Textbook. Cherkasy: Druk, 2017. 200 p.</w:t>
      </w:r>
    </w:p>
    <w:p w14:paraId="418E6402"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Dictionary of the Ukrainian Language: in 11 volumes / Academy of Sciences of the Ukrainian SSR, O. O. </w:t>
      </w:r>
      <w:proofErr w:type="spellStart"/>
      <w:r>
        <w:rPr>
          <w:rFonts w:ascii="Times New Roman" w:eastAsia="Times New Roman" w:hAnsi="Times New Roman" w:cs="Times New Roman"/>
          <w:color w:val="000000"/>
          <w:sz w:val="28"/>
          <w:szCs w:val="28"/>
        </w:rPr>
        <w:t>Potebnia</w:t>
      </w:r>
      <w:proofErr w:type="spellEnd"/>
      <w:r>
        <w:rPr>
          <w:rFonts w:ascii="Times New Roman" w:eastAsia="Times New Roman" w:hAnsi="Times New Roman" w:cs="Times New Roman"/>
          <w:color w:val="000000"/>
          <w:sz w:val="28"/>
          <w:szCs w:val="28"/>
        </w:rPr>
        <w:t xml:space="preserve"> Institute of Linguistics. Kyiv: </w:t>
      </w:r>
      <w:proofErr w:type="spellStart"/>
      <w:r>
        <w:rPr>
          <w:rFonts w:ascii="Times New Roman" w:eastAsia="Times New Roman" w:hAnsi="Times New Roman" w:cs="Times New Roman"/>
          <w:color w:val="000000"/>
          <w:sz w:val="28"/>
          <w:szCs w:val="28"/>
        </w:rPr>
        <w:t>Naukova</w:t>
      </w:r>
      <w:proofErr w:type="spellEnd"/>
      <w:r>
        <w:rPr>
          <w:rFonts w:ascii="Times New Roman" w:eastAsia="Times New Roman" w:hAnsi="Times New Roman" w:cs="Times New Roman"/>
          <w:color w:val="000000"/>
          <w:sz w:val="28"/>
          <w:szCs w:val="28"/>
        </w:rPr>
        <w:t xml:space="preserve"> Dumka, 1970–1980. Volumes 1–11. URL:</w:t>
      </w:r>
      <w:hyperlink r:id="rId11">
        <w:r>
          <w:rPr>
            <w:rFonts w:ascii="Times New Roman" w:eastAsia="Times New Roman" w:hAnsi="Times New Roman" w:cs="Times New Roman"/>
            <w:color w:val="000000"/>
            <w:sz w:val="28"/>
            <w:szCs w:val="28"/>
            <w:u w:val="single"/>
          </w:rPr>
          <w:t xml:space="preserve"> </w:t>
        </w:r>
      </w:hyperlink>
      <w:hyperlink r:id="rId12">
        <w:r>
          <w:rPr>
            <w:rFonts w:ascii="Times New Roman" w:eastAsia="Times New Roman" w:hAnsi="Times New Roman" w:cs="Times New Roman"/>
            <w:color w:val="000000"/>
            <w:sz w:val="28"/>
            <w:szCs w:val="28"/>
          </w:rPr>
          <w:t>http://www.inmo.org.ua/sum.html</w:t>
        </w:r>
      </w:hyperlink>
      <w:r>
        <w:rPr>
          <w:rFonts w:ascii="Times New Roman" w:eastAsia="Times New Roman" w:hAnsi="Times New Roman" w:cs="Times New Roman"/>
          <w:color w:val="000000"/>
          <w:sz w:val="28"/>
          <w:szCs w:val="28"/>
        </w:rPr>
        <w:t xml:space="preserve"> </w:t>
      </w:r>
    </w:p>
    <w:p w14:paraId="0E9F77CC"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Modern Explanatory Dictionary of the Ukrainian Language: 60,000 Words / Compiled by N. </w:t>
      </w:r>
      <w:proofErr w:type="spellStart"/>
      <w:r>
        <w:rPr>
          <w:rFonts w:ascii="Times New Roman" w:eastAsia="Times New Roman" w:hAnsi="Times New Roman" w:cs="Times New Roman"/>
          <w:color w:val="000000"/>
          <w:sz w:val="28"/>
          <w:szCs w:val="28"/>
        </w:rPr>
        <w:t>Kusaykina</w:t>
      </w:r>
      <w:proofErr w:type="spellEnd"/>
      <w:r>
        <w:rPr>
          <w:rFonts w:ascii="Times New Roman" w:eastAsia="Times New Roman" w:hAnsi="Times New Roman" w:cs="Times New Roman"/>
          <w:color w:val="000000"/>
          <w:sz w:val="28"/>
          <w:szCs w:val="28"/>
        </w:rPr>
        <w:t>, Yu. Tsybulnyk; Edited by Dr. Philology, Prof. V. V. Dubichinsky. Kharkiv: VD "SHKOLA", 2011. 784 p.</w:t>
      </w:r>
    </w:p>
    <w:p w14:paraId="16C38323"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 xml:space="preserve">Alla </w:t>
      </w:r>
      <w:proofErr w:type="spellStart"/>
      <w:r>
        <w:rPr>
          <w:rFonts w:ascii="Times New Roman" w:eastAsia="Times New Roman" w:hAnsi="Times New Roman" w:cs="Times New Roman"/>
          <w:color w:val="000000"/>
          <w:sz w:val="28"/>
          <w:szCs w:val="28"/>
          <w:highlight w:val="white"/>
        </w:rPr>
        <w:t>Poltoratska</w:t>
      </w:r>
      <w:proofErr w:type="spellEnd"/>
      <w:r>
        <w:rPr>
          <w:rFonts w:ascii="Times New Roman" w:eastAsia="Times New Roman" w:hAnsi="Times New Roman" w:cs="Times New Roman"/>
          <w:color w:val="000000"/>
          <w:sz w:val="28"/>
          <w:szCs w:val="28"/>
          <w:highlight w:val="white"/>
        </w:rPr>
        <w:t xml:space="preserve">, Olena Garmash, Iryna Marchenko, Olena Garmatiuk, Volodymyr Stefinin. Analysis of the Impact of Digital Communication Tools on Organizational Culture and Communication Effectiveness Within Enterprises[J], </w:t>
      </w:r>
      <w:r>
        <w:rPr>
          <w:rFonts w:ascii="Times New Roman" w:eastAsia="Times New Roman" w:hAnsi="Times New Roman" w:cs="Times New Roman"/>
          <w:i/>
          <w:iCs/>
          <w:color w:val="000000"/>
          <w:sz w:val="28"/>
          <w:szCs w:val="28"/>
          <w:highlight w:val="white"/>
        </w:rPr>
        <w:t>Archives Des Sciences</w:t>
      </w:r>
      <w:r>
        <w:rPr>
          <w:rFonts w:ascii="Times New Roman" w:eastAsia="Times New Roman" w:hAnsi="Times New Roman" w:cs="Times New Roman"/>
          <w:color w:val="000000"/>
          <w:sz w:val="28"/>
          <w:szCs w:val="28"/>
          <w:highlight w:val="white"/>
        </w:rPr>
        <w:t>, Volume 74, Issue 6, 2024. -. DOI:</w:t>
      </w:r>
      <w:hyperlink r:id="rId13">
        <w:r>
          <w:rPr>
            <w:rFonts w:ascii="Times New Roman" w:eastAsia="Times New Roman" w:hAnsi="Times New Roman" w:cs="Times New Roman"/>
            <w:color w:val="000000"/>
            <w:sz w:val="28"/>
            <w:szCs w:val="28"/>
            <w:highlight w:val="white"/>
          </w:rPr>
          <w:t xml:space="preserve"> https://doi.org/10.62227/as/74610</w:t>
        </w:r>
      </w:hyperlink>
      <w:r>
        <w:rPr>
          <w:rFonts w:ascii="Times New Roman" w:eastAsia="Times New Roman" w:hAnsi="Times New Roman" w:cs="Times New Roman"/>
          <w:color w:val="000000"/>
          <w:sz w:val="28"/>
          <w:szCs w:val="28"/>
          <w:highlight w:val="white"/>
        </w:rPr>
        <w:t xml:space="preserve"> . </w:t>
      </w:r>
      <w:r>
        <w:rPr>
          <w:rFonts w:ascii="Times New Roman" w:eastAsia="Times New Roman" w:hAnsi="Times New Roman" w:cs="Times New Roman"/>
          <w:color w:val="000000"/>
          <w:sz w:val="28"/>
          <w:szCs w:val="28"/>
        </w:rPr>
        <w:t>(Scopus)</w:t>
      </w:r>
    </w:p>
    <w:p w14:paraId="658A87C4"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 Pavlova, A. </w:t>
      </w:r>
      <w:proofErr w:type="spellStart"/>
      <w:r>
        <w:rPr>
          <w:rFonts w:ascii="Times New Roman" w:eastAsia="Times New Roman" w:hAnsi="Times New Roman" w:cs="Times New Roman"/>
          <w:color w:val="000000"/>
          <w:sz w:val="28"/>
          <w:szCs w:val="28"/>
        </w:rPr>
        <w:t>Poltoratska</w:t>
      </w:r>
      <w:proofErr w:type="spellEnd"/>
      <w:r>
        <w:rPr>
          <w:rFonts w:ascii="Times New Roman" w:eastAsia="Times New Roman" w:hAnsi="Times New Roman" w:cs="Times New Roman"/>
          <w:color w:val="000000"/>
          <w:sz w:val="28"/>
          <w:szCs w:val="28"/>
        </w:rPr>
        <w:t xml:space="preserve">, N. Barna, I. Boiko, A. </w:t>
      </w:r>
      <w:proofErr w:type="spellStart"/>
      <w:r>
        <w:rPr>
          <w:rFonts w:ascii="Times New Roman" w:eastAsia="Times New Roman" w:hAnsi="Times New Roman" w:cs="Times New Roman"/>
          <w:color w:val="000000"/>
          <w:sz w:val="28"/>
          <w:szCs w:val="28"/>
        </w:rPr>
        <w:t>Vaskiv</w:t>
      </w:r>
      <w:proofErr w:type="spellEnd"/>
      <w:r>
        <w:rPr>
          <w:rFonts w:ascii="Times New Roman" w:eastAsia="Times New Roman" w:hAnsi="Times New Roman" w:cs="Times New Roman"/>
          <w:color w:val="000000"/>
          <w:sz w:val="28"/>
          <w:szCs w:val="28"/>
        </w:rPr>
        <w:t xml:space="preserve">. Model of Culture in The Context of Modern Arts and Humanities Approaches. (2024). </w:t>
      </w:r>
      <w:r>
        <w:rPr>
          <w:rFonts w:ascii="Times New Roman" w:eastAsia="Times New Roman" w:hAnsi="Times New Roman" w:cs="Times New Roman"/>
          <w:i/>
          <w:iCs/>
          <w:color w:val="000000"/>
          <w:sz w:val="28"/>
          <w:szCs w:val="28"/>
        </w:rPr>
        <w:t>International Journal of Religion</w:t>
      </w:r>
      <w:r>
        <w:rPr>
          <w:rFonts w:ascii="Times New Roman" w:eastAsia="Times New Roman" w:hAnsi="Times New Roman" w:cs="Times New Roman"/>
          <w:color w:val="000000"/>
          <w:sz w:val="28"/>
          <w:szCs w:val="28"/>
        </w:rPr>
        <w:t xml:space="preserve">. 5 (9), 404-410 (Scopus) </w:t>
      </w:r>
    </w:p>
    <w:p w14:paraId="0E8750EF" w14:textId="77777777" w:rsidR="00506435" w:rsidRDefault="00000000">
      <w:pPr>
        <w:widowControl w:val="0"/>
        <w:numPr>
          <w:ilvl w:val="0"/>
          <w:numId w:val="5"/>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Alla </w:t>
      </w:r>
      <w:proofErr w:type="spellStart"/>
      <w:r>
        <w:rPr>
          <w:rFonts w:ascii="Times New Roman" w:eastAsia="Times New Roman" w:hAnsi="Times New Roman" w:cs="Times New Roman"/>
          <w:color w:val="000000"/>
          <w:sz w:val="28"/>
          <w:szCs w:val="28"/>
        </w:rPr>
        <w:t>Poltoratska</w:t>
      </w:r>
      <w:proofErr w:type="spellEnd"/>
      <w:r>
        <w:rPr>
          <w:rFonts w:ascii="Times New Roman" w:eastAsia="Times New Roman" w:hAnsi="Times New Roman" w:cs="Times New Roman"/>
          <w:color w:val="000000"/>
          <w:sz w:val="28"/>
          <w:szCs w:val="28"/>
        </w:rPr>
        <w:t xml:space="preserve">, Olena Garmash, Iryna Marchenko, Olena Garmatiuk and Volodymyr Stefinin. Analysis of the Impact of Digital Communication Tools on Organisational Culture and Communication Effectiveness within Enterprises. (2024). </w:t>
      </w:r>
      <w:r>
        <w:rPr>
          <w:rFonts w:ascii="Times New Roman" w:eastAsia="Times New Roman" w:hAnsi="Times New Roman" w:cs="Times New Roman"/>
          <w:i/>
          <w:iCs/>
          <w:color w:val="000000"/>
          <w:sz w:val="28"/>
          <w:szCs w:val="28"/>
        </w:rPr>
        <w:t>International Journal of Religion</w:t>
      </w:r>
      <w:r>
        <w:rPr>
          <w:rFonts w:ascii="Times New Roman" w:eastAsia="Times New Roman" w:hAnsi="Times New Roman" w:cs="Times New Roman"/>
          <w:color w:val="000000"/>
          <w:sz w:val="28"/>
          <w:szCs w:val="28"/>
        </w:rPr>
        <w:t>,</w:t>
      </w:r>
      <w:r>
        <w:rPr>
          <w:rFonts w:ascii="Times New Roman" w:eastAsia="Times New Roman" w:hAnsi="Times New Roman" w:cs="Times New Roman"/>
          <w:i/>
          <w:iCs/>
          <w:color w:val="000000"/>
          <w:sz w:val="28"/>
          <w:szCs w:val="28"/>
        </w:rPr>
        <w:t xml:space="preserve"> 5</w:t>
      </w:r>
      <w:r>
        <w:rPr>
          <w:rFonts w:ascii="Times New Roman" w:eastAsia="Times New Roman" w:hAnsi="Times New Roman" w:cs="Times New Roman"/>
          <w:color w:val="000000"/>
          <w:sz w:val="28"/>
          <w:szCs w:val="28"/>
        </w:rPr>
        <w:t>(10), 1684-1692.</w:t>
      </w:r>
      <w:hyperlink r:id="rId14">
        <w:r>
          <w:rPr>
            <w:rFonts w:ascii="Times New Roman" w:eastAsia="Times New Roman" w:hAnsi="Times New Roman" w:cs="Times New Roman"/>
            <w:color w:val="000000"/>
            <w:sz w:val="28"/>
            <w:szCs w:val="28"/>
          </w:rPr>
          <w:t xml:space="preserve"> https://doi.org/10.61707/zaa7yf77</w:t>
        </w:r>
      </w:hyperlink>
      <w:r>
        <w:rPr>
          <w:rFonts w:ascii="Times New Roman" w:eastAsia="Times New Roman" w:hAnsi="Times New Roman" w:cs="Times New Roman"/>
          <w:color w:val="000000"/>
          <w:sz w:val="28"/>
          <w:szCs w:val="28"/>
        </w:rPr>
        <w:t xml:space="preserve"> </w:t>
      </w:r>
    </w:p>
    <w:p w14:paraId="7838956C" w14:textId="77777777" w:rsidR="00506435" w:rsidRDefault="00000000">
      <w:pPr>
        <w:widowControl w:val="0"/>
        <w:numPr>
          <w:ilvl w:val="0"/>
          <w:numId w:val="5"/>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17. N. Myronova, A. </w:t>
      </w:r>
      <w:proofErr w:type="spellStart"/>
      <w:r>
        <w:rPr>
          <w:rFonts w:ascii="Times New Roman" w:eastAsia="Times New Roman" w:hAnsi="Times New Roman" w:cs="Times New Roman"/>
          <w:color w:val="000000"/>
          <w:sz w:val="28"/>
          <w:szCs w:val="28"/>
        </w:rPr>
        <w:t>Poltoratska</w:t>
      </w:r>
      <w:proofErr w:type="spellEnd"/>
      <w:r>
        <w:rPr>
          <w:rFonts w:ascii="Times New Roman" w:eastAsia="Times New Roman" w:hAnsi="Times New Roman" w:cs="Times New Roman"/>
          <w:color w:val="000000"/>
          <w:sz w:val="28"/>
          <w:szCs w:val="28"/>
        </w:rPr>
        <w:t xml:space="preserve">, S. Romanchuk, S. </w:t>
      </w:r>
      <w:proofErr w:type="spellStart"/>
      <w:r>
        <w:rPr>
          <w:rFonts w:ascii="Times New Roman" w:eastAsia="Times New Roman" w:hAnsi="Times New Roman" w:cs="Times New Roman"/>
          <w:color w:val="000000"/>
          <w:sz w:val="28"/>
          <w:szCs w:val="28"/>
        </w:rPr>
        <w:t>Bernatska</w:t>
      </w:r>
      <w:proofErr w:type="spellEnd"/>
      <w:r>
        <w:rPr>
          <w:rFonts w:ascii="Times New Roman" w:eastAsia="Times New Roman" w:hAnsi="Times New Roman" w:cs="Times New Roman"/>
          <w:color w:val="000000"/>
          <w:sz w:val="28"/>
          <w:szCs w:val="28"/>
        </w:rPr>
        <w:t xml:space="preserve">, D. </w:t>
      </w:r>
      <w:proofErr w:type="spellStart"/>
      <w:r>
        <w:rPr>
          <w:rFonts w:ascii="Times New Roman" w:eastAsia="Times New Roman" w:hAnsi="Times New Roman" w:cs="Times New Roman"/>
          <w:color w:val="000000"/>
          <w:sz w:val="28"/>
          <w:szCs w:val="28"/>
        </w:rPr>
        <w:t>Boklakh</w:t>
      </w:r>
      <w:proofErr w:type="spellEnd"/>
      <w:r>
        <w:rPr>
          <w:rFonts w:ascii="Times New Roman" w:eastAsia="Times New Roman" w:hAnsi="Times New Roman" w:cs="Times New Roman"/>
          <w:color w:val="000000"/>
          <w:sz w:val="28"/>
          <w:szCs w:val="28"/>
        </w:rPr>
        <w:t xml:space="preserve">. Linguo-cognitive analysis of a literary text: linguistic means of expression of concepts and images. </w:t>
      </w:r>
      <w:proofErr w:type="spellStart"/>
      <w:r>
        <w:rPr>
          <w:rFonts w:ascii="Times New Roman" w:eastAsia="Times New Roman" w:hAnsi="Times New Roman" w:cs="Times New Roman"/>
          <w:color w:val="000000"/>
          <w:sz w:val="28"/>
          <w:szCs w:val="28"/>
        </w:rPr>
        <w:t>Conhecimento</w:t>
      </w:r>
      <w:proofErr w:type="spellEnd"/>
      <w:r>
        <w:rPr>
          <w:rFonts w:ascii="Times New Roman" w:eastAsia="Times New Roman" w:hAnsi="Times New Roman" w:cs="Times New Roman"/>
          <w:color w:val="000000"/>
          <w:sz w:val="28"/>
          <w:szCs w:val="28"/>
        </w:rPr>
        <w:t xml:space="preserve"> &amp; </w:t>
      </w:r>
      <w:proofErr w:type="spellStart"/>
      <w:r>
        <w:rPr>
          <w:rFonts w:ascii="Times New Roman" w:eastAsia="Times New Roman" w:hAnsi="Times New Roman" w:cs="Times New Roman"/>
          <w:color w:val="000000"/>
          <w:sz w:val="28"/>
          <w:szCs w:val="28"/>
        </w:rPr>
        <w:t>Diversidade</w:t>
      </w:r>
      <w:proofErr w:type="spellEnd"/>
      <w:r>
        <w:rPr>
          <w:rFonts w:ascii="Times New Roman" w:eastAsia="Times New Roman" w:hAnsi="Times New Roman" w:cs="Times New Roman"/>
          <w:color w:val="000000"/>
          <w:sz w:val="28"/>
          <w:szCs w:val="28"/>
        </w:rPr>
        <w:t xml:space="preserve"> 15 (40), 304-321    2023 (Web of Science)</w:t>
      </w:r>
    </w:p>
    <w:p w14:paraId="2DC93DB5"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 Taranenko, T. </w:t>
      </w:r>
      <w:proofErr w:type="spellStart"/>
      <w:r>
        <w:rPr>
          <w:rFonts w:ascii="Times New Roman" w:eastAsia="Times New Roman" w:hAnsi="Times New Roman" w:cs="Times New Roman"/>
          <w:color w:val="000000"/>
          <w:sz w:val="28"/>
          <w:szCs w:val="28"/>
        </w:rPr>
        <w:t>Kedych</w:t>
      </w:r>
      <w:proofErr w:type="spellEnd"/>
      <w:r>
        <w:rPr>
          <w:rFonts w:ascii="Times New Roman" w:eastAsia="Times New Roman" w:hAnsi="Times New Roman" w:cs="Times New Roman"/>
          <w:color w:val="000000"/>
          <w:sz w:val="28"/>
          <w:szCs w:val="28"/>
        </w:rPr>
        <w:t xml:space="preserve">, А. Velyka, І. Dudko, A. </w:t>
      </w:r>
      <w:proofErr w:type="spellStart"/>
      <w:r>
        <w:rPr>
          <w:rFonts w:ascii="Times New Roman" w:eastAsia="Times New Roman" w:hAnsi="Times New Roman" w:cs="Times New Roman"/>
          <w:color w:val="000000"/>
          <w:sz w:val="28"/>
          <w:szCs w:val="28"/>
        </w:rPr>
        <w:t>Poltoratska</w:t>
      </w:r>
      <w:proofErr w:type="spellEnd"/>
      <w:r>
        <w:rPr>
          <w:rFonts w:ascii="Times New Roman" w:eastAsia="Times New Roman" w:hAnsi="Times New Roman" w:cs="Times New Roman"/>
          <w:color w:val="000000"/>
          <w:sz w:val="28"/>
          <w:szCs w:val="28"/>
        </w:rPr>
        <w:t xml:space="preserve">. Peculiarities of the functioning of verbs in modern artistic discourse (on the material of texts of Ukrainian and English literature). </w:t>
      </w:r>
      <w:r>
        <w:rPr>
          <w:rFonts w:ascii="Times New Roman" w:eastAsia="Times New Roman" w:hAnsi="Times New Roman" w:cs="Times New Roman"/>
          <w:i/>
          <w:iCs/>
          <w:color w:val="000000"/>
          <w:sz w:val="28"/>
          <w:szCs w:val="28"/>
        </w:rPr>
        <w:t xml:space="preserve">Ad </w:t>
      </w:r>
      <w:proofErr w:type="spellStart"/>
      <w:r>
        <w:rPr>
          <w:rFonts w:ascii="Times New Roman" w:eastAsia="Times New Roman" w:hAnsi="Times New Roman" w:cs="Times New Roman"/>
          <w:i/>
          <w:iCs/>
          <w:color w:val="000000"/>
          <w:sz w:val="28"/>
          <w:szCs w:val="28"/>
        </w:rPr>
        <w:t>alta</w:t>
      </w:r>
      <w:proofErr w:type="spellEnd"/>
      <w:r>
        <w:rPr>
          <w:rFonts w:ascii="Times New Roman" w:eastAsia="Times New Roman" w:hAnsi="Times New Roman" w:cs="Times New Roman"/>
          <w:color w:val="000000"/>
          <w:sz w:val="28"/>
          <w:szCs w:val="28"/>
        </w:rPr>
        <w:t xml:space="preserve"> 2023. V.36, pp.110-114</w:t>
      </w:r>
      <w:hyperlink r:id="rId15">
        <w:r>
          <w:rPr>
            <w:rFonts w:ascii="Times New Roman" w:eastAsia="Times New Roman" w:hAnsi="Times New Roman" w:cs="Times New Roman"/>
            <w:color w:val="000000"/>
            <w:sz w:val="28"/>
            <w:szCs w:val="28"/>
          </w:rPr>
          <w:t xml:space="preserve"> https://www.magnanimitas.cz/ADALTA/130236/PDF/130236.pdf</w:t>
        </w:r>
      </w:hyperlink>
      <w:r>
        <w:rPr>
          <w:rFonts w:ascii="Times New Roman" w:eastAsia="Times New Roman" w:hAnsi="Times New Roman" w:cs="Times New Roman"/>
          <w:color w:val="000000"/>
          <w:sz w:val="28"/>
          <w:szCs w:val="28"/>
        </w:rPr>
        <w:t xml:space="preserve"> (Web of Science)</w:t>
      </w:r>
    </w:p>
    <w:p w14:paraId="1C510AC5"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Kostiuk, T., </w:t>
      </w:r>
      <w:proofErr w:type="spellStart"/>
      <w:r>
        <w:rPr>
          <w:rFonts w:ascii="Times New Roman" w:eastAsia="Times New Roman" w:hAnsi="Times New Roman" w:cs="Times New Roman"/>
          <w:color w:val="000000"/>
          <w:sz w:val="28"/>
          <w:szCs w:val="28"/>
        </w:rPr>
        <w:t>Bakhov</w:t>
      </w:r>
      <w:proofErr w:type="spellEnd"/>
      <w:r>
        <w:rPr>
          <w:rFonts w:ascii="Times New Roman" w:eastAsia="Times New Roman" w:hAnsi="Times New Roman" w:cs="Times New Roman"/>
          <w:color w:val="000000"/>
          <w:sz w:val="28"/>
          <w:szCs w:val="28"/>
        </w:rPr>
        <w:t xml:space="preserve">, I., </w:t>
      </w:r>
      <w:proofErr w:type="spellStart"/>
      <w:r>
        <w:rPr>
          <w:rFonts w:ascii="Times New Roman" w:eastAsia="Times New Roman" w:hAnsi="Times New Roman" w:cs="Times New Roman"/>
          <w:color w:val="000000"/>
          <w:sz w:val="28"/>
          <w:szCs w:val="28"/>
        </w:rPr>
        <w:t>Chernukha</w:t>
      </w:r>
      <w:proofErr w:type="spellEnd"/>
      <w:r>
        <w:rPr>
          <w:rFonts w:ascii="Times New Roman" w:eastAsia="Times New Roman" w:hAnsi="Times New Roman" w:cs="Times New Roman"/>
          <w:color w:val="000000"/>
          <w:sz w:val="28"/>
          <w:szCs w:val="28"/>
        </w:rPr>
        <w:t xml:space="preserve">, N., Kostenko, D., </w:t>
      </w:r>
      <w:proofErr w:type="spellStart"/>
      <w:r>
        <w:rPr>
          <w:rFonts w:ascii="Times New Roman" w:eastAsia="Times New Roman" w:hAnsi="Times New Roman" w:cs="Times New Roman"/>
          <w:color w:val="000000"/>
          <w:sz w:val="28"/>
          <w:szCs w:val="28"/>
        </w:rPr>
        <w:t>Poltoratska</w:t>
      </w:r>
      <w:proofErr w:type="spellEnd"/>
      <w:r>
        <w:rPr>
          <w:rFonts w:ascii="Times New Roman" w:eastAsia="Times New Roman" w:hAnsi="Times New Roman" w:cs="Times New Roman"/>
          <w:color w:val="000000"/>
          <w:sz w:val="28"/>
          <w:szCs w:val="28"/>
        </w:rPr>
        <w:t xml:space="preserve">, A., &amp; Omelchenko, S. (2025). Stability of value orientations of participants in international academic mobility programmes.  </w:t>
      </w:r>
      <w:r>
        <w:rPr>
          <w:rFonts w:ascii="Times New Roman" w:eastAsia="Times New Roman" w:hAnsi="Times New Roman" w:cs="Times New Roman"/>
          <w:i/>
          <w:iCs/>
          <w:color w:val="000000"/>
          <w:sz w:val="28"/>
          <w:szCs w:val="28"/>
        </w:rPr>
        <w:t>Journal of Education and Learning (</w:t>
      </w:r>
      <w:proofErr w:type="spellStart"/>
      <w:r>
        <w:rPr>
          <w:rFonts w:ascii="Times New Roman" w:eastAsia="Times New Roman" w:hAnsi="Times New Roman" w:cs="Times New Roman"/>
          <w:i/>
          <w:iCs/>
          <w:color w:val="000000"/>
          <w:sz w:val="28"/>
          <w:szCs w:val="28"/>
        </w:rPr>
        <w:t>EduLearn</w:t>
      </w:r>
      <w:proofErr w:type="spellEnd"/>
      <w:r>
        <w:rPr>
          <w:rFonts w:ascii="Times New Roman" w:eastAsia="Times New Roman" w:hAnsi="Times New Roman" w:cs="Times New Roman"/>
          <w:i/>
          <w:iCs/>
          <w:color w:val="000000"/>
          <w:sz w:val="28"/>
          <w:szCs w:val="28"/>
        </w:rPr>
        <w:t xml:space="preserve">). </w:t>
      </w:r>
      <w:r>
        <w:rPr>
          <w:rFonts w:ascii="Times New Roman" w:eastAsia="Times New Roman" w:hAnsi="Times New Roman" w:cs="Times New Roman"/>
          <w:color w:val="000000"/>
          <w:sz w:val="28"/>
          <w:szCs w:val="28"/>
        </w:rPr>
        <w:t>Vol. 19, No. 4, November 2025, 2054-2064.  ISSN: 2089-9823</w:t>
      </w:r>
      <w:hyperlink r:id="rId16">
        <w:r>
          <w:rPr>
            <w:rFonts w:ascii="Times New Roman" w:eastAsia="Times New Roman" w:hAnsi="Times New Roman" w:cs="Times New Roman"/>
            <w:color w:val="000000"/>
            <w:sz w:val="28"/>
            <w:szCs w:val="28"/>
          </w:rPr>
          <w:t xml:space="preserve"> https://doi.org/10.11591/edulearn.v19i4.22174</w:t>
        </w:r>
      </w:hyperlink>
      <w:r>
        <w:rPr>
          <w:rFonts w:ascii="Times New Roman" w:eastAsia="Times New Roman" w:hAnsi="Times New Roman" w:cs="Times New Roman"/>
          <w:color w:val="000000"/>
          <w:sz w:val="28"/>
          <w:szCs w:val="28"/>
          <w:highlight w:val="white"/>
        </w:rPr>
        <w:t xml:space="preserve"> </w:t>
      </w:r>
      <w:hyperlink r:id="rId17">
        <w:r>
          <w:rPr>
            <w:rFonts w:ascii="Times New Roman" w:eastAsia="Times New Roman" w:hAnsi="Times New Roman" w:cs="Times New Roman"/>
            <w:color w:val="000000"/>
            <w:sz w:val="28"/>
            <w:szCs w:val="28"/>
            <w:highlight w:val="white"/>
          </w:rPr>
          <w:t>https://www.scopus.com/pages/publications/105013643747</w:t>
        </w:r>
      </w:hyperlink>
      <w:r>
        <w:rPr>
          <w:rFonts w:ascii="Times New Roman" w:eastAsia="Times New Roman" w:hAnsi="Times New Roman" w:cs="Times New Roman"/>
          <w:color w:val="000000"/>
          <w:sz w:val="28"/>
          <w:szCs w:val="28"/>
          <w:highlight w:val="white"/>
        </w:rPr>
        <w:t xml:space="preserve"> </w:t>
      </w:r>
      <w:r>
        <w:rPr>
          <w:rFonts w:ascii="Times New Roman" w:eastAsia="Times New Roman" w:hAnsi="Times New Roman" w:cs="Times New Roman"/>
          <w:color w:val="000000"/>
          <w:sz w:val="28"/>
          <w:szCs w:val="28"/>
        </w:rPr>
        <w:t>Scopus</w:t>
      </w:r>
    </w:p>
    <w:p w14:paraId="6C16DC04"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AY </w:t>
      </w:r>
      <w:proofErr w:type="spellStart"/>
      <w:r>
        <w:rPr>
          <w:rFonts w:ascii="Times New Roman" w:eastAsia="Times New Roman" w:hAnsi="Times New Roman" w:cs="Times New Roman"/>
          <w:color w:val="000000"/>
          <w:sz w:val="28"/>
          <w:szCs w:val="28"/>
        </w:rPr>
        <w:t>Poltoratska</w:t>
      </w:r>
      <w:proofErr w:type="spellEnd"/>
      <w:r>
        <w:rPr>
          <w:rFonts w:ascii="Times New Roman" w:eastAsia="Times New Roman" w:hAnsi="Times New Roman" w:cs="Times New Roman"/>
          <w:color w:val="000000"/>
          <w:sz w:val="28"/>
          <w:szCs w:val="28"/>
        </w:rPr>
        <w:t xml:space="preserve"> (2025). The concept of inclusivity in </w:t>
      </w:r>
      <w:proofErr w:type="spellStart"/>
      <w:r>
        <w:rPr>
          <w:rFonts w:ascii="Times New Roman" w:eastAsia="Times New Roman" w:hAnsi="Times New Roman" w:cs="Times New Roman"/>
          <w:color w:val="000000"/>
          <w:sz w:val="28"/>
          <w:szCs w:val="28"/>
        </w:rPr>
        <w:t>daniel</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keyes’s</w:t>
      </w:r>
      <w:proofErr w:type="spellEnd"/>
      <w:r>
        <w:rPr>
          <w:rFonts w:ascii="Times New Roman" w:eastAsia="Times New Roman" w:hAnsi="Times New Roman" w:cs="Times New Roman"/>
          <w:color w:val="000000"/>
          <w:sz w:val="28"/>
          <w:szCs w:val="28"/>
        </w:rPr>
        <w:t xml:space="preserve"> "flowers for </w:t>
      </w:r>
      <w:proofErr w:type="spellStart"/>
      <w:r>
        <w:rPr>
          <w:rFonts w:ascii="Times New Roman" w:eastAsia="Times New Roman" w:hAnsi="Times New Roman" w:cs="Times New Roman"/>
          <w:color w:val="000000"/>
          <w:sz w:val="28"/>
          <w:szCs w:val="28"/>
        </w:rPr>
        <w:t>algernon</w:t>
      </w:r>
      <w:proofErr w:type="spellEnd"/>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iCs/>
          <w:color w:val="000000"/>
          <w:sz w:val="28"/>
          <w:szCs w:val="28"/>
        </w:rPr>
        <w:t>Bulletin of Ivan Franko Zhytomyr State University. Philological Sciences</w:t>
      </w:r>
      <w:r>
        <w:rPr>
          <w:rFonts w:ascii="Times New Roman" w:eastAsia="Times New Roman" w:hAnsi="Times New Roman" w:cs="Times New Roman"/>
          <w:color w:val="000000"/>
          <w:sz w:val="28"/>
          <w:szCs w:val="28"/>
        </w:rPr>
        <w:t>. No. 1(104) DOI:</w:t>
      </w:r>
      <w:hyperlink r:id="rId18">
        <w:r>
          <w:rPr>
            <w:rFonts w:ascii="Times New Roman" w:eastAsia="Times New Roman" w:hAnsi="Times New Roman" w:cs="Times New Roman"/>
            <w:color w:val="000000"/>
            <w:sz w:val="28"/>
            <w:szCs w:val="28"/>
          </w:rPr>
          <w:t xml:space="preserve"> https://doi.org/10.35433/philology.1(104).2025.51-63</w:t>
        </w:r>
      </w:hyperlink>
    </w:p>
    <w:p w14:paraId="440364FD"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 Pavlova, A </w:t>
      </w:r>
      <w:proofErr w:type="spellStart"/>
      <w:r>
        <w:rPr>
          <w:rFonts w:ascii="Times New Roman" w:eastAsia="Times New Roman" w:hAnsi="Times New Roman" w:cs="Times New Roman"/>
          <w:color w:val="000000"/>
          <w:sz w:val="28"/>
          <w:szCs w:val="28"/>
        </w:rPr>
        <w:t>Poltoratska</w:t>
      </w:r>
      <w:proofErr w:type="spellEnd"/>
      <w:r>
        <w:rPr>
          <w:rFonts w:ascii="Times New Roman" w:eastAsia="Times New Roman" w:hAnsi="Times New Roman" w:cs="Times New Roman"/>
          <w:color w:val="000000"/>
          <w:sz w:val="28"/>
          <w:szCs w:val="28"/>
        </w:rPr>
        <w:t xml:space="preserve">, N Barna, I Boiko, A </w:t>
      </w:r>
      <w:proofErr w:type="spellStart"/>
      <w:r>
        <w:rPr>
          <w:rFonts w:ascii="Times New Roman" w:eastAsia="Times New Roman" w:hAnsi="Times New Roman" w:cs="Times New Roman"/>
          <w:color w:val="000000"/>
          <w:sz w:val="28"/>
          <w:szCs w:val="28"/>
        </w:rPr>
        <w:t>Vaskiv</w:t>
      </w:r>
      <w:proofErr w:type="spellEnd"/>
      <w:r>
        <w:rPr>
          <w:rFonts w:ascii="Times New Roman" w:eastAsia="Times New Roman" w:hAnsi="Times New Roman" w:cs="Times New Roman"/>
          <w:color w:val="000000"/>
          <w:sz w:val="28"/>
          <w:szCs w:val="28"/>
        </w:rPr>
        <w:t xml:space="preserve">. Artistic and humanitarian approaches in shaping the contemporary cultural model. </w:t>
      </w:r>
      <w:r>
        <w:rPr>
          <w:rFonts w:ascii="Times New Roman" w:eastAsia="Times New Roman" w:hAnsi="Times New Roman" w:cs="Times New Roman"/>
          <w:i/>
          <w:iCs/>
          <w:color w:val="000000"/>
          <w:sz w:val="28"/>
          <w:szCs w:val="28"/>
        </w:rPr>
        <w:t xml:space="preserve">Salud, Ciencia y </w:t>
      </w:r>
      <w:proofErr w:type="spellStart"/>
      <w:r>
        <w:rPr>
          <w:rFonts w:ascii="Times New Roman" w:eastAsia="Times New Roman" w:hAnsi="Times New Roman" w:cs="Times New Roman"/>
          <w:i/>
          <w:iCs/>
          <w:color w:val="000000"/>
          <w:sz w:val="28"/>
          <w:szCs w:val="28"/>
        </w:rPr>
        <w:t>Tecnología</w:t>
      </w:r>
      <w:proofErr w:type="spellEnd"/>
      <w:r>
        <w:rPr>
          <w:rFonts w:ascii="Times New Roman" w:eastAsia="Times New Roman" w:hAnsi="Times New Roman" w:cs="Times New Roman"/>
          <w:i/>
          <w:iCs/>
          <w:color w:val="000000"/>
          <w:sz w:val="28"/>
          <w:szCs w:val="28"/>
        </w:rPr>
        <w:t xml:space="preserve">-Serie de </w:t>
      </w:r>
      <w:proofErr w:type="spellStart"/>
      <w:r>
        <w:rPr>
          <w:rFonts w:ascii="Times New Roman" w:eastAsia="Times New Roman" w:hAnsi="Times New Roman" w:cs="Times New Roman"/>
          <w:i/>
          <w:iCs/>
          <w:color w:val="000000"/>
          <w:sz w:val="28"/>
          <w:szCs w:val="28"/>
        </w:rPr>
        <w:t>Conferencias</w:t>
      </w:r>
      <w:proofErr w:type="spellEnd"/>
      <w:r>
        <w:rPr>
          <w:rFonts w:ascii="Times New Roman" w:eastAsia="Times New Roman" w:hAnsi="Times New Roman" w:cs="Times New Roman"/>
          <w:i/>
          <w:iCs/>
          <w:color w:val="000000"/>
          <w:sz w:val="28"/>
          <w:szCs w:val="28"/>
        </w:rPr>
        <w:t>,</w:t>
      </w:r>
      <w:r>
        <w:rPr>
          <w:rFonts w:ascii="Times New Roman" w:eastAsia="Times New Roman" w:hAnsi="Times New Roman" w:cs="Times New Roman"/>
          <w:color w:val="000000"/>
          <w:sz w:val="28"/>
          <w:szCs w:val="28"/>
        </w:rPr>
        <w:t xml:space="preserve"> 2025</w:t>
      </w:r>
      <w:hyperlink r:id="rId19">
        <w:r>
          <w:rPr>
            <w:rFonts w:ascii="Times New Roman" w:eastAsia="Times New Roman" w:hAnsi="Times New Roman" w:cs="Times New Roman"/>
            <w:color w:val="000000"/>
            <w:sz w:val="28"/>
            <w:szCs w:val="28"/>
          </w:rPr>
          <w:t xml:space="preserve"> https://dialnet.unirioja.es/servlet/articulo?codigo=10072067</w:t>
        </w:r>
      </w:hyperlink>
      <w:r>
        <w:rPr>
          <w:rFonts w:ascii="Times New Roman" w:eastAsia="Times New Roman" w:hAnsi="Times New Roman" w:cs="Times New Roman"/>
          <w:color w:val="000000"/>
          <w:sz w:val="28"/>
          <w:szCs w:val="28"/>
        </w:rPr>
        <w:t xml:space="preserve"> </w:t>
      </w:r>
    </w:p>
    <w:p w14:paraId="5146082A"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lastRenderedPageBreak/>
        <w:t>Poltorats</w:t>
      </w:r>
      <w:proofErr w:type="spellEnd"/>
      <w:r>
        <w:rPr>
          <w:rFonts w:ascii="Times New Roman" w:eastAsia="Times New Roman" w:hAnsi="Times New Roman" w:cs="Times New Roman"/>
          <w:color w:val="000000"/>
          <w:sz w:val="28"/>
          <w:szCs w:val="28"/>
        </w:rPr>
        <w:t xml:space="preserve"> ka, A. (2025). Cultural diplomacy through language: the Ukrainian case and the potential of multimedia resources. Language teaching in higher education institutions at the present stage. Interdisciplinary connections, (46), 63-74. https://doi.org/10.26565/2073-4379-2025-46-05</w:t>
      </w:r>
    </w:p>
    <w:p w14:paraId="06B40D53" w14:textId="77777777" w:rsidR="00506435" w:rsidRDefault="00000000">
      <w:pPr>
        <w:widowControl w:val="0"/>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Poltoratska</w:t>
      </w:r>
      <w:proofErr w:type="spellEnd"/>
      <w:r>
        <w:rPr>
          <w:rFonts w:ascii="Times New Roman" w:eastAsia="Times New Roman" w:hAnsi="Times New Roman" w:cs="Times New Roman"/>
          <w:color w:val="000000"/>
          <w:sz w:val="28"/>
          <w:szCs w:val="28"/>
        </w:rPr>
        <w:t xml:space="preserve">, A. The dynamics of David Lurie's perception of animals in John Coetzee's novel Disgrace. Scientific notes of the H. S. </w:t>
      </w:r>
      <w:proofErr w:type="spellStart"/>
      <w:r>
        <w:rPr>
          <w:rFonts w:ascii="Times New Roman" w:eastAsia="Times New Roman" w:hAnsi="Times New Roman" w:cs="Times New Roman"/>
          <w:color w:val="000000"/>
          <w:sz w:val="28"/>
          <w:szCs w:val="28"/>
        </w:rPr>
        <w:t>Skovoroda</w:t>
      </w:r>
      <w:proofErr w:type="spellEnd"/>
      <w:r>
        <w:rPr>
          <w:rFonts w:ascii="Times New Roman" w:eastAsia="Times New Roman" w:hAnsi="Times New Roman" w:cs="Times New Roman"/>
          <w:color w:val="000000"/>
          <w:sz w:val="28"/>
          <w:szCs w:val="28"/>
        </w:rPr>
        <w:t xml:space="preserve"> Kharkiv National Pedagogical University. Literary Studies. 2021. Issue 2 (96). Pp. 107–125. URL: http://journals.hnpu.edu.ua/index.php/literature/article/ view/3393</w:t>
      </w:r>
    </w:p>
    <w:p w14:paraId="446FE95E" w14:textId="77777777" w:rsidR="00506435" w:rsidRDefault="00506435">
      <w:pPr>
        <w:widowControl w:val="0"/>
        <w:spacing w:line="240" w:lineRule="auto"/>
        <w:jc w:val="both"/>
        <w:rPr>
          <w:rFonts w:ascii="Times New Roman" w:eastAsia="Times New Roman" w:hAnsi="Times New Roman" w:cs="Times New Roman"/>
          <w:sz w:val="28"/>
          <w:szCs w:val="28"/>
        </w:rPr>
      </w:pPr>
    </w:p>
    <w:p w14:paraId="1458882D" w14:textId="77777777" w:rsidR="00506435" w:rsidRDefault="00506435">
      <w:pPr>
        <w:widowControl w:val="0"/>
        <w:spacing w:line="240" w:lineRule="auto"/>
        <w:jc w:val="both"/>
        <w:rPr>
          <w:rFonts w:ascii="Times New Roman" w:eastAsia="Times New Roman" w:hAnsi="Times New Roman" w:cs="Times New Roman"/>
          <w:sz w:val="28"/>
          <w:szCs w:val="28"/>
        </w:rPr>
      </w:pPr>
    </w:p>
    <w:sectPr w:rsidR="00506435">
      <w:pgSz w:w="11906" w:h="16838"/>
      <w:pgMar w:top="1134" w:right="1134" w:bottom="1134" w:left="1134"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A77E738-B852-4EDF-8D46-E501E73A509F}"/>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CC5DCD35-973D-4D8A-8EE5-BD63C1EB1CBF}"/>
    <w:embedBold r:id="rId3" w:fontKey="{28329E46-9B60-4493-8CF2-50CF7FB460CF}"/>
    <w:embedItalic r:id="rId4" w:fontKey="{1F4C7D4E-AE52-4405-8F96-2ED38A3A20C0}"/>
    <w:embedBoldItalic r:id="rId5" w:fontKey="{49F58C65-D21C-4925-A6F7-974B955B99D3}"/>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embedRegular r:id="rId6" w:fontKey="{B2164663-1812-40A6-951A-E73AE61DC9EE}"/>
  </w:font>
  <w:font w:name="Calibri Light">
    <w:panose1 w:val="020F0302020204030204"/>
    <w:charset w:val="CC"/>
    <w:family w:val="swiss"/>
    <w:pitch w:val="variable"/>
    <w:sig w:usb0="E4002EFF" w:usb1="C200247B" w:usb2="00000009" w:usb3="00000000" w:csb0="000001FF" w:csb1="00000000"/>
    <w:embedRegular r:id="rId7" w:fontKey="{977FA3BC-66DD-4FCE-9412-2A31ED475580}"/>
    <w:embedBold r:id="rId8" w:fontKey="{4D16E2AB-878A-4811-A6E2-B4AE4E128A2B}"/>
    <w:embedItalic r:id="rId9" w:fontKey="{B07478F6-D3F7-4F8A-A0B0-1B5340C839A7}"/>
    <w:embedBoldItalic r:id="rId10" w:fontKey="{D0EE5427-F986-49FC-A9AE-F42B2B0AEB69}"/>
  </w:font>
  <w:font w:name="Arial Narrow">
    <w:panose1 w:val="020B0606020202030204"/>
    <w:charset w:val="CC"/>
    <w:family w:val="swiss"/>
    <w:pitch w:val="variable"/>
    <w:sig w:usb0="00000287" w:usb1="00000800" w:usb2="00000000" w:usb3="00000000" w:csb0="0000009F" w:csb1="00000000"/>
    <w:embedBold r:id="rId11" w:fontKey="{09C5E1A0-2A27-4E8F-BFB8-5E7F75C42D81}"/>
  </w:font>
  <w:font w:name="Times New Roman CYR">
    <w:panose1 w:val="02020603050405020304"/>
    <w:charset w:val="CC"/>
    <w:family w:val="roman"/>
    <w:pitch w:val="variable"/>
    <w:sig w:usb0="E0002EFF" w:usb1="C000785B" w:usb2="00000009" w:usb3="00000000" w:csb0="000001FF" w:csb1="00000000"/>
    <w:embedRegular r:id="rId12" w:fontKey="{226B2AD9-F83B-429D-BA18-1ECEC4C502C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DC2DED"/>
    <w:multiLevelType w:val="multilevel"/>
    <w:tmpl w:val="2AF8C0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83679E4"/>
    <w:multiLevelType w:val="multilevel"/>
    <w:tmpl w:val="E75095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6914E91"/>
    <w:multiLevelType w:val="multilevel"/>
    <w:tmpl w:val="D5500DC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68B83469"/>
    <w:multiLevelType w:val="multilevel"/>
    <w:tmpl w:val="A6C088D4"/>
    <w:lvl w:ilvl="0">
      <w:start w:val="1"/>
      <w:numFmt w:val="decimal"/>
      <w:lvlText w:val="%1."/>
      <w:lvlJc w:val="left"/>
      <w:pPr>
        <w:ind w:left="735" w:hanging="375"/>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8DD1650"/>
    <w:multiLevelType w:val="multilevel"/>
    <w:tmpl w:val="775A51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BDA1C77"/>
    <w:multiLevelType w:val="multilevel"/>
    <w:tmpl w:val="87F8A18C"/>
    <w:lvl w:ilvl="0">
      <w:start w:val="1"/>
      <w:numFmt w:val="decimal"/>
      <w:lvlText w:val="%1."/>
      <w:lvlJc w:val="left"/>
      <w:pPr>
        <w:ind w:left="735" w:hanging="375"/>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79206644">
    <w:abstractNumId w:val="2"/>
  </w:num>
  <w:num w:numId="2" w16cid:durableId="354965209">
    <w:abstractNumId w:val="4"/>
  </w:num>
  <w:num w:numId="3" w16cid:durableId="2087065011">
    <w:abstractNumId w:val="0"/>
  </w:num>
  <w:num w:numId="4" w16cid:durableId="891964788">
    <w:abstractNumId w:val="5"/>
  </w:num>
  <w:num w:numId="5" w16cid:durableId="161748595">
    <w:abstractNumId w:val="3"/>
  </w:num>
  <w:num w:numId="6" w16cid:durableId="8990941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435"/>
    <w:rsid w:val="00506435"/>
    <w:rsid w:val="00843269"/>
    <w:rsid w:val="00EA2739"/>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BCA8A"/>
  <w15:docId w15:val="{1EF6BDEE-4BD2-4D2D-BC54-229E0EF9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ru-UA"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spacing w:before="240" w:after="60" w:line="240" w:lineRule="auto"/>
      <w:ind w:firstLine="709"/>
      <w:jc w:val="both"/>
      <w:outlineLvl w:val="0"/>
    </w:pPr>
    <w:rPr>
      <w:b/>
      <w:bCs/>
      <w:sz w:val="32"/>
      <w:szCs w:val="32"/>
    </w:rPr>
  </w:style>
  <w:style w:type="paragraph" w:styleId="2">
    <w:name w:val="heading 2"/>
    <w:basedOn w:val="a"/>
    <w:next w:val="a"/>
    <w:uiPriority w:val="9"/>
    <w:unhideWhenUsed/>
    <w:qFormat/>
    <w:pPr>
      <w:keepNext/>
      <w:spacing w:before="240" w:after="60" w:line="240" w:lineRule="auto"/>
      <w:ind w:firstLine="709"/>
      <w:jc w:val="both"/>
      <w:outlineLvl w:val="1"/>
    </w:pPr>
    <w:rPr>
      <w:b/>
      <w:bCs/>
      <w:i/>
      <w:iCs/>
      <w:sz w:val="28"/>
      <w:szCs w:val="28"/>
    </w:rPr>
  </w:style>
  <w:style w:type="paragraph" w:styleId="3">
    <w:name w:val="heading 3"/>
    <w:basedOn w:val="a"/>
    <w:next w:val="a"/>
    <w:uiPriority w:val="9"/>
    <w:semiHidden/>
    <w:unhideWhenUsed/>
    <w:qFormat/>
    <w:pPr>
      <w:keepNext/>
      <w:keepLines/>
      <w:spacing w:before="40"/>
      <w:outlineLvl w:val="2"/>
    </w:pPr>
    <w:rPr>
      <w:color w:val="1F4E79"/>
      <w:sz w:val="24"/>
      <w:szCs w:val="24"/>
    </w:rPr>
  </w:style>
  <w:style w:type="paragraph" w:styleId="4">
    <w:name w:val="heading 4"/>
    <w:basedOn w:val="a"/>
    <w:next w:val="a"/>
    <w:uiPriority w:val="9"/>
    <w:semiHidden/>
    <w:unhideWhenUsed/>
    <w:qFormat/>
    <w:pPr>
      <w:keepNext/>
      <w:keepLines/>
      <w:spacing w:before="40"/>
      <w:outlineLvl w:val="3"/>
    </w:pPr>
    <w:rPr>
      <w:i/>
      <w:iCs/>
      <w:color w:val="2E75B5"/>
    </w:rPr>
  </w:style>
  <w:style w:type="paragraph" w:styleId="5">
    <w:name w:val="heading 5"/>
    <w:basedOn w:val="a"/>
    <w:next w:val="a"/>
    <w:uiPriority w:val="9"/>
    <w:semiHidden/>
    <w:unhideWhenUsed/>
    <w:qFormat/>
    <w:pPr>
      <w:keepNext/>
      <w:keepLines/>
      <w:spacing w:before="220" w:after="40"/>
      <w:outlineLvl w:val="4"/>
    </w:pPr>
    <w:rPr>
      <w:b/>
      <w:bCs/>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spacing w:line="240" w:lineRule="auto"/>
      <w:ind w:firstLine="709"/>
      <w:jc w:val="both"/>
    </w:pPr>
    <w:rPr>
      <w:b/>
      <w:bCs/>
      <w:sz w:val="28"/>
      <w:szCs w:val="28"/>
    </w:rPr>
  </w:style>
  <w:style w:type="character" w:styleId="a4">
    <w:name w:val="FollowedHyperlink"/>
    <w:basedOn w:val="a0"/>
    <w:uiPriority w:val="99"/>
    <w:semiHidden/>
    <w:unhideWhenUsed/>
    <w:qFormat/>
    <w:rPr>
      <w:color w:val="954F72" w:themeColor="followedHyperlink"/>
      <w:u w:val="single"/>
    </w:rPr>
  </w:style>
  <w:style w:type="character" w:styleId="a5">
    <w:name w:val="Emphasis"/>
    <w:uiPriority w:val="20"/>
    <w:qFormat/>
    <w:rPr>
      <w:i/>
      <w:iCs/>
    </w:rPr>
  </w:style>
  <w:style w:type="character" w:styleId="a6">
    <w:name w:val="Hyperlink"/>
    <w:basedOn w:val="a0"/>
    <w:uiPriority w:val="99"/>
    <w:unhideWhenUsed/>
    <w:qFormat/>
    <w:rPr>
      <w:color w:val="0563C1" w:themeColor="hyperlink"/>
      <w:u w:val="single"/>
    </w:rPr>
  </w:style>
  <w:style w:type="character" w:styleId="a7">
    <w:name w:val="Strong"/>
    <w:basedOn w:val="a0"/>
    <w:uiPriority w:val="22"/>
    <w:qFormat/>
    <w:rPr>
      <w:b/>
      <w:bCs/>
    </w:rPr>
  </w:style>
  <w:style w:type="paragraph" w:styleId="a8">
    <w:name w:val="Balloon Text"/>
    <w:link w:val="a9"/>
    <w:uiPriority w:val="99"/>
    <w:semiHidden/>
    <w:unhideWhenUsed/>
    <w:qFormat/>
    <w:pPr>
      <w:spacing w:line="240" w:lineRule="auto"/>
    </w:pPr>
    <w:rPr>
      <w:rFonts w:ascii="Tahoma" w:hAnsi="Tahoma" w:cs="Tahoma"/>
      <w:sz w:val="16"/>
      <w:szCs w:val="16"/>
    </w:rPr>
  </w:style>
  <w:style w:type="paragraph" w:styleId="aa">
    <w:name w:val="header"/>
    <w:link w:val="ab"/>
    <w:uiPriority w:val="99"/>
    <w:unhideWhenUsed/>
    <w:qFormat/>
    <w:pPr>
      <w:tabs>
        <w:tab w:val="center" w:pos="4677"/>
        <w:tab w:val="right" w:pos="9355"/>
      </w:tabs>
      <w:spacing w:line="240" w:lineRule="auto"/>
    </w:pPr>
  </w:style>
  <w:style w:type="paragraph" w:styleId="ac">
    <w:name w:val="Body Text"/>
    <w:link w:val="ad"/>
    <w:uiPriority w:val="1"/>
    <w:qFormat/>
    <w:pPr>
      <w:widowControl w:val="0"/>
      <w:autoSpaceDE w:val="0"/>
      <w:autoSpaceDN w:val="0"/>
      <w:spacing w:line="240" w:lineRule="auto"/>
      <w:jc w:val="both"/>
    </w:pPr>
    <w:rPr>
      <w:rFonts w:ascii="Times New Roman" w:eastAsia="Times New Roman" w:hAnsi="Times New Roman" w:cs="Times New Roman"/>
      <w:sz w:val="24"/>
      <w:szCs w:val="24"/>
      <w:lang w:val="uk-UA" w:eastAsia="en-US"/>
    </w:rPr>
  </w:style>
  <w:style w:type="paragraph" w:styleId="ae">
    <w:name w:val="footer"/>
    <w:link w:val="af"/>
    <w:uiPriority w:val="99"/>
    <w:unhideWhenUsed/>
    <w:qFormat/>
    <w:pPr>
      <w:tabs>
        <w:tab w:val="center" w:pos="4677"/>
        <w:tab w:val="right" w:pos="9355"/>
      </w:tabs>
      <w:spacing w:line="240" w:lineRule="auto"/>
    </w:pPr>
  </w:style>
  <w:style w:type="paragraph" w:styleId="af0">
    <w:name w:val="Normal (Web)"/>
    <w:uiPriority w:val="99"/>
    <w:unhideWhenUsed/>
    <w:qFormat/>
    <w:pPr>
      <w:spacing w:before="100" w:beforeAutospacing="1" w:after="100" w:afterAutospacing="1" w:line="240" w:lineRule="auto"/>
      <w:ind w:firstLine="709"/>
      <w:jc w:val="both"/>
    </w:pPr>
    <w:rPr>
      <w:rFonts w:ascii="Times New Roman" w:eastAsia="Times New Roman" w:hAnsi="Times New Roman" w:cs="Times New Roman"/>
      <w:sz w:val="24"/>
      <w:szCs w:val="24"/>
      <w:lang w:val="uk-UA" w:eastAsia="uk-UA"/>
    </w:rPr>
  </w:style>
  <w:style w:type="table" w:styleId="af1">
    <w:name w:val="Table Grid"/>
    <w:basedOn w:val="a1"/>
    <w:uiPriority w:val="39"/>
    <w:qFormat/>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qFormat/>
    <w:rPr>
      <w:rFonts w:ascii="Calibri Light" w:eastAsia="Times New Roman" w:hAnsi="Calibri Light" w:cs="Times New Roman"/>
      <w:b/>
      <w:bCs/>
      <w:kern w:val="32"/>
      <w:sz w:val="32"/>
      <w:szCs w:val="32"/>
      <w:lang w:eastAsia="ru-RU"/>
    </w:rPr>
  </w:style>
  <w:style w:type="character" w:customStyle="1" w:styleId="20">
    <w:name w:val="Заголовок 2 Знак"/>
    <w:basedOn w:val="a0"/>
    <w:semiHidden/>
    <w:qFormat/>
    <w:rPr>
      <w:rFonts w:ascii="Calibri Light" w:eastAsia="Times New Roman" w:hAnsi="Calibri Light" w:cs="Times New Roman"/>
      <w:b/>
      <w:bCs/>
      <w:i/>
      <w:iCs/>
      <w:sz w:val="28"/>
      <w:szCs w:val="28"/>
      <w:lang w:eastAsia="ru-RU"/>
    </w:rPr>
  </w:style>
  <w:style w:type="paragraph" w:styleId="af2">
    <w:name w:val="List Paragraph"/>
    <w:uiPriority w:val="34"/>
    <w:qFormat/>
    <w:pPr>
      <w:ind w:left="720"/>
      <w:contextualSpacing/>
    </w:pPr>
  </w:style>
  <w:style w:type="character" w:customStyle="1" w:styleId="af3">
    <w:name w:val="Основной текст_"/>
    <w:basedOn w:val="a0"/>
    <w:link w:val="50"/>
    <w:qFormat/>
    <w:rPr>
      <w:rFonts w:ascii="Times New Roman" w:eastAsia="Times New Roman" w:hAnsi="Times New Roman" w:cs="Times New Roman"/>
      <w:spacing w:val="2"/>
      <w:shd w:val="clear" w:color="auto" w:fill="FFFFFF"/>
    </w:rPr>
  </w:style>
  <w:style w:type="paragraph" w:customStyle="1" w:styleId="50">
    <w:name w:val="Основной текст5"/>
    <w:link w:val="af3"/>
    <w:qFormat/>
    <w:pPr>
      <w:widowControl w:val="0"/>
      <w:shd w:val="clear" w:color="auto" w:fill="FFFFFF"/>
      <w:spacing w:before="420" w:after="420" w:line="0" w:lineRule="atLeast"/>
      <w:ind w:hanging="400"/>
    </w:pPr>
    <w:rPr>
      <w:rFonts w:ascii="Times New Roman" w:eastAsia="Times New Roman" w:hAnsi="Times New Roman" w:cs="Times New Roman"/>
      <w:spacing w:val="2"/>
      <w:lang w:eastAsia="en-US"/>
    </w:rPr>
  </w:style>
  <w:style w:type="character" w:customStyle="1" w:styleId="30">
    <w:name w:val="Основной текст (3) + Не полужирный"/>
    <w:qFormat/>
    <w:rPr>
      <w:rFonts w:ascii="Arial Narrow" w:hAnsi="Arial Narrow"/>
      <w:b/>
      <w:bCs/>
      <w:spacing w:val="-3"/>
      <w:w w:val="100"/>
      <w:sz w:val="15"/>
      <w:szCs w:val="15"/>
      <w:shd w:val="clear" w:color="auto" w:fill="FFFFFF"/>
    </w:rPr>
  </w:style>
  <w:style w:type="paragraph" w:customStyle="1" w:styleId="Default">
    <w:name w:val="Default"/>
    <w:qFormat/>
    <w:pPr>
      <w:suppressAutoHyphens/>
      <w:autoSpaceDE w:val="0"/>
    </w:pPr>
    <w:rPr>
      <w:rFonts w:ascii="Times New Roman" w:eastAsia="Times New Roman" w:hAnsi="Times New Roman" w:cs="Times New Roman"/>
      <w:color w:val="000000"/>
      <w:sz w:val="24"/>
      <w:szCs w:val="24"/>
      <w:lang w:eastAsia="zh-CN"/>
    </w:rPr>
  </w:style>
  <w:style w:type="paragraph" w:customStyle="1" w:styleId="11">
    <w:name w:val="Основной текст1"/>
    <w:pPr>
      <w:widowControl w:val="0"/>
      <w:spacing w:line="240" w:lineRule="auto"/>
    </w:pPr>
    <w:rPr>
      <w:rFonts w:ascii="Times New Roman" w:eastAsia="Times New Roman" w:hAnsi="Times New Roman" w:cs="Times New Roman"/>
      <w:sz w:val="28"/>
      <w:szCs w:val="28"/>
      <w:lang w:val="uk-UA" w:eastAsia="zh-CN"/>
    </w:rPr>
  </w:style>
  <w:style w:type="character" w:customStyle="1" w:styleId="21">
    <w:name w:val="Основной текст (2)_"/>
    <w:link w:val="22"/>
    <w:uiPriority w:val="99"/>
    <w:rPr>
      <w:rFonts w:ascii="Arial Narrow" w:hAnsi="Arial Narrow"/>
      <w:b/>
      <w:bCs/>
      <w:sz w:val="15"/>
      <w:szCs w:val="15"/>
      <w:shd w:val="clear" w:color="auto" w:fill="FFFFFF"/>
    </w:rPr>
  </w:style>
  <w:style w:type="paragraph" w:customStyle="1" w:styleId="22">
    <w:name w:val="Основной текст (2)"/>
    <w:link w:val="21"/>
    <w:uiPriority w:val="99"/>
    <w:pPr>
      <w:shd w:val="clear" w:color="auto" w:fill="FFFFFF"/>
      <w:spacing w:line="240" w:lineRule="atLeast"/>
      <w:ind w:firstLine="709"/>
      <w:jc w:val="both"/>
    </w:pPr>
    <w:rPr>
      <w:rFonts w:ascii="Arial Narrow" w:eastAsiaTheme="minorHAnsi" w:hAnsi="Arial Narrow" w:cstheme="minorBidi"/>
      <w:b/>
      <w:bCs/>
      <w:sz w:val="15"/>
      <w:szCs w:val="15"/>
      <w:lang w:eastAsia="en-US"/>
    </w:rPr>
  </w:style>
  <w:style w:type="character" w:customStyle="1" w:styleId="af4">
    <w:name w:val="Название Знак"/>
    <w:rPr>
      <w:b/>
      <w:sz w:val="28"/>
      <w:lang w:eastAsia="ar-SA"/>
    </w:rPr>
  </w:style>
  <w:style w:type="character" w:customStyle="1" w:styleId="af5">
    <w:name w:val="Подзаголовок Знак"/>
    <w:basedOn w:val="a0"/>
    <w:uiPriority w:val="11"/>
    <w:qFormat/>
    <w:rPr>
      <w:rFonts w:eastAsiaTheme="minorEastAsia"/>
      <w:color w:val="595959" w:themeColor="text1" w:themeTint="A6"/>
      <w:spacing w:val="15"/>
      <w:lang w:eastAsia="ru-RU"/>
    </w:rPr>
  </w:style>
  <w:style w:type="character" w:customStyle="1" w:styleId="af6">
    <w:name w:val="Заголовок Знак"/>
    <w:basedOn w:val="a0"/>
    <w:uiPriority w:val="10"/>
    <w:qFormat/>
    <w:rPr>
      <w:rFonts w:asciiTheme="majorHAnsi" w:eastAsiaTheme="majorEastAsia" w:hAnsiTheme="majorHAnsi" w:cstheme="majorBidi"/>
      <w:spacing w:val="-10"/>
      <w:kern w:val="28"/>
      <w:sz w:val="56"/>
      <w:szCs w:val="56"/>
      <w:lang w:eastAsia="ru-RU"/>
    </w:rPr>
  </w:style>
  <w:style w:type="character" w:customStyle="1" w:styleId="31">
    <w:name w:val="Основной текст3"/>
    <w:basedOn w:val="af3"/>
    <w:qFormat/>
    <w:rPr>
      <w:rFonts w:ascii="Times New Roman" w:eastAsia="Times New Roman" w:hAnsi="Times New Roman" w:cs="Times New Roman"/>
      <w:color w:val="000000"/>
      <w:spacing w:val="2"/>
      <w:w w:val="100"/>
      <w:position w:val="0"/>
      <w:sz w:val="24"/>
      <w:szCs w:val="24"/>
      <w:u w:val="single"/>
      <w:shd w:val="clear" w:color="auto" w:fill="FFFFFF"/>
      <w:lang w:val="uk-UA"/>
    </w:rPr>
  </w:style>
  <w:style w:type="character" w:customStyle="1" w:styleId="12">
    <w:name w:val="Заголовок №1_"/>
    <w:basedOn w:val="a0"/>
    <w:link w:val="13"/>
    <w:rPr>
      <w:rFonts w:ascii="Times New Roman" w:eastAsia="Times New Roman" w:hAnsi="Times New Roman" w:cs="Times New Roman"/>
      <w:spacing w:val="2"/>
      <w:shd w:val="clear" w:color="auto" w:fill="FFFFFF"/>
    </w:rPr>
  </w:style>
  <w:style w:type="paragraph" w:customStyle="1" w:styleId="13">
    <w:name w:val="Заголовок №1"/>
    <w:link w:val="12"/>
    <w:pPr>
      <w:widowControl w:val="0"/>
      <w:shd w:val="clear" w:color="auto" w:fill="FFFFFF"/>
      <w:spacing w:before="180" w:line="322" w:lineRule="exact"/>
      <w:ind w:hanging="400"/>
      <w:jc w:val="both"/>
      <w:outlineLvl w:val="0"/>
    </w:pPr>
    <w:rPr>
      <w:rFonts w:ascii="Times New Roman" w:eastAsia="Times New Roman" w:hAnsi="Times New Roman" w:cs="Times New Roman"/>
      <w:spacing w:val="2"/>
      <w:lang w:eastAsia="en-US"/>
    </w:rPr>
  </w:style>
  <w:style w:type="character" w:customStyle="1" w:styleId="14">
    <w:name w:val="Неразрешенное упоминание1"/>
    <w:basedOn w:val="a0"/>
    <w:uiPriority w:val="99"/>
    <w:semiHidden/>
    <w:unhideWhenUsed/>
    <w:rPr>
      <w:color w:val="605E5C"/>
      <w:shd w:val="clear" w:color="auto" w:fill="E1DFDD"/>
    </w:rPr>
  </w:style>
  <w:style w:type="character" w:customStyle="1" w:styleId="ab">
    <w:name w:val="Верхний колонтитул Знак"/>
    <w:basedOn w:val="a0"/>
    <w:link w:val="aa"/>
    <w:uiPriority w:val="99"/>
    <w:rPr>
      <w:rFonts w:ascii="Calibri" w:eastAsia="Calibri" w:hAnsi="Calibri" w:cs="Calibri"/>
      <w:lang w:eastAsia="ru-RU"/>
    </w:rPr>
  </w:style>
  <w:style w:type="character" w:customStyle="1" w:styleId="af">
    <w:name w:val="Нижний колонтитул Знак"/>
    <w:basedOn w:val="a0"/>
    <w:link w:val="ae"/>
    <w:uiPriority w:val="99"/>
    <w:rPr>
      <w:rFonts w:ascii="Calibri" w:eastAsia="Calibri" w:hAnsi="Calibri" w:cs="Calibri"/>
      <w:lang w:eastAsia="ru-RU"/>
    </w:rPr>
  </w:style>
  <w:style w:type="character" w:customStyle="1" w:styleId="32">
    <w:name w:val="Заголовок 3 Знак"/>
    <w:basedOn w:val="a0"/>
    <w:uiPriority w:val="9"/>
    <w:semiHidden/>
    <w:rPr>
      <w:rFonts w:asciiTheme="majorHAnsi" w:eastAsiaTheme="majorEastAsia" w:hAnsiTheme="majorHAnsi" w:cstheme="majorBidi"/>
      <w:color w:val="1F4E79" w:themeColor="accent1" w:themeShade="80"/>
      <w:sz w:val="24"/>
      <w:szCs w:val="24"/>
      <w:lang w:eastAsia="ru-RU"/>
    </w:rPr>
  </w:style>
  <w:style w:type="character" w:customStyle="1" w:styleId="40">
    <w:name w:val="Заголовок 4 Знак"/>
    <w:basedOn w:val="a0"/>
    <w:uiPriority w:val="9"/>
    <w:semiHidden/>
    <w:rPr>
      <w:rFonts w:asciiTheme="majorHAnsi" w:eastAsiaTheme="majorEastAsia" w:hAnsiTheme="majorHAnsi" w:cstheme="majorBidi"/>
      <w:i/>
      <w:iCs/>
      <w:color w:val="2E74B5" w:themeColor="accent1" w:themeShade="BF"/>
      <w:lang w:eastAsia="ru-RU"/>
    </w:rPr>
  </w:style>
  <w:style w:type="character" w:customStyle="1" w:styleId="fontstyle21">
    <w:name w:val="fontstyle21"/>
    <w:basedOn w:val="a0"/>
    <w:qFormat/>
    <w:rPr>
      <w:rFonts w:ascii="Times New Roman" w:hAnsi="Times New Roman" w:cs="Times New Roman" w:hint="default"/>
      <w:b/>
      <w:bCs/>
      <w:color w:val="000000"/>
      <w:sz w:val="36"/>
      <w:szCs w:val="36"/>
    </w:rPr>
  </w:style>
  <w:style w:type="paragraph" w:customStyle="1" w:styleId="TableParagraph">
    <w:name w:val="Table Paragraph"/>
    <w:uiPriority w:val="1"/>
    <w:qFormat/>
    <w:pPr>
      <w:widowControl w:val="0"/>
      <w:autoSpaceDE w:val="0"/>
      <w:autoSpaceDN w:val="0"/>
      <w:spacing w:line="240" w:lineRule="auto"/>
      <w:ind w:left="110"/>
    </w:pPr>
    <w:rPr>
      <w:rFonts w:ascii="Times New Roman" w:eastAsia="Times New Roman" w:hAnsi="Times New Roman" w:cs="Times New Roman"/>
      <w:lang w:val="uk-UA" w:eastAsia="en-US"/>
    </w:rPr>
  </w:style>
  <w:style w:type="character" w:customStyle="1" w:styleId="23">
    <w:name w:val="Неразрешенное упоминание2"/>
    <w:basedOn w:val="a0"/>
    <w:uiPriority w:val="99"/>
    <w:semiHidden/>
    <w:unhideWhenUsed/>
    <w:rPr>
      <w:color w:val="605E5C"/>
      <w:shd w:val="clear" w:color="auto" w:fill="E1DFDD"/>
    </w:rPr>
  </w:style>
  <w:style w:type="character" w:customStyle="1" w:styleId="fontstyle01">
    <w:name w:val="fontstyle01"/>
    <w:basedOn w:val="a0"/>
    <w:rPr>
      <w:rFonts w:ascii="Times New Roman" w:hAnsi="Times New Roman" w:cs="Times New Roman" w:hint="default"/>
      <w:color w:val="000000"/>
      <w:sz w:val="28"/>
      <w:szCs w:val="28"/>
    </w:rPr>
  </w:style>
  <w:style w:type="paragraph" w:customStyle="1" w:styleId="Style40">
    <w:name w:val="_Style 40"/>
    <w:next w:val="af0"/>
    <w:uiPriority w:val="99"/>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ad">
    <w:name w:val="Основной текст Знак"/>
    <w:basedOn w:val="a0"/>
    <w:link w:val="ac"/>
    <w:uiPriority w:val="1"/>
    <w:rPr>
      <w:rFonts w:ascii="Times New Roman" w:eastAsia="Times New Roman" w:hAnsi="Times New Roman" w:cs="Times New Roman"/>
      <w:sz w:val="24"/>
      <w:szCs w:val="24"/>
      <w:lang w:val="uk-UA"/>
    </w:rPr>
  </w:style>
  <w:style w:type="character" w:customStyle="1" w:styleId="fontstyle31">
    <w:name w:val="fontstyle31"/>
    <w:basedOn w:val="a0"/>
    <w:qFormat/>
    <w:rPr>
      <w:rFonts w:ascii="Times New Roman CYR" w:hAnsi="Times New Roman CYR" w:hint="default"/>
      <w:color w:val="000000"/>
      <w:sz w:val="28"/>
      <w:szCs w:val="28"/>
    </w:rPr>
  </w:style>
  <w:style w:type="character" w:customStyle="1" w:styleId="fontstyle41">
    <w:name w:val="fontstyle41"/>
    <w:basedOn w:val="a0"/>
    <w:rPr>
      <w:rFonts w:ascii="Times New Roman" w:hAnsi="Times New Roman" w:cs="Times New Roman" w:hint="default"/>
      <w:color w:val="000000"/>
      <w:sz w:val="28"/>
      <w:szCs w:val="28"/>
    </w:rPr>
  </w:style>
  <w:style w:type="character" w:customStyle="1" w:styleId="33">
    <w:name w:val="Неразрешенное упоминание3"/>
    <w:basedOn w:val="a0"/>
    <w:uiPriority w:val="99"/>
    <w:semiHidden/>
    <w:unhideWhenUsed/>
    <w:rPr>
      <w:color w:val="605E5C"/>
      <w:shd w:val="clear" w:color="auto" w:fill="E1DFDD"/>
    </w:rPr>
  </w:style>
  <w:style w:type="paragraph" w:customStyle="1" w:styleId="af7">
    <w:name w:val="Вміст таблиці"/>
    <w:qFormat/>
    <w:pPr>
      <w:widowControl w:val="0"/>
      <w:suppressLineNumbers/>
      <w:suppressAutoHyphens/>
      <w:spacing w:line="240" w:lineRule="auto"/>
    </w:pPr>
    <w:rPr>
      <w:rFonts w:ascii="Times New Roman" w:eastAsia="Times New Roman" w:hAnsi="Times New Roman" w:cs="Times New Roman"/>
      <w:sz w:val="20"/>
      <w:szCs w:val="20"/>
    </w:rPr>
  </w:style>
  <w:style w:type="character" w:customStyle="1" w:styleId="a9">
    <w:name w:val="Текст выноски Знак"/>
    <w:basedOn w:val="a0"/>
    <w:link w:val="a8"/>
    <w:uiPriority w:val="99"/>
    <w:semiHidden/>
    <w:qFormat/>
    <w:rPr>
      <w:rFonts w:ascii="Tahoma" w:eastAsia="Calibri" w:hAnsi="Tahoma" w:cs="Tahoma"/>
      <w:sz w:val="16"/>
      <w:szCs w:val="16"/>
      <w:lang w:eastAsia="ru-RU"/>
    </w:rPr>
  </w:style>
  <w:style w:type="paragraph" w:customStyle="1" w:styleId="elementor-icon-list-item">
    <w:name w:val="elementor-icon-list-item"/>
    <w:qFormat/>
    <w:pPr>
      <w:spacing w:before="100" w:beforeAutospacing="1" w:after="100" w:afterAutospacing="1" w:line="240" w:lineRule="auto"/>
    </w:pPr>
    <w:rPr>
      <w:rFonts w:ascii="Times New Roman" w:eastAsia="Times New Roman" w:hAnsi="Times New Roman" w:cs="Times New Roman"/>
    </w:rPr>
  </w:style>
  <w:style w:type="character" w:customStyle="1" w:styleId="elementor-icon-list-text">
    <w:name w:val="elementor-icon-list-text"/>
    <w:basedOn w:val="a0"/>
    <w:qFormat/>
  </w:style>
  <w:style w:type="paragraph" w:styleId="af8">
    <w:name w:val="No Spacing"/>
    <w:uiPriority w:val="1"/>
    <w:qFormat/>
    <w:rsid w:val="00E95586"/>
    <w:rPr>
      <w:kern w:val="2"/>
      <w:sz w:val="24"/>
      <w:szCs w:val="24"/>
      <w:lang w:val="en-US" w:eastAsia="en-US"/>
    </w:rPr>
  </w:style>
  <w:style w:type="paragraph" w:styleId="af9">
    <w:name w:val="Subtitle"/>
    <w:basedOn w:val="a"/>
    <w:next w:val="a"/>
    <w:uiPriority w:val="11"/>
    <w:qFormat/>
    <w:pPr>
      <w:spacing w:after="160" w:line="240" w:lineRule="auto"/>
      <w:ind w:firstLine="709"/>
      <w:jc w:val="both"/>
    </w:pPr>
    <w:rPr>
      <w:color w:val="595959"/>
    </w:r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15" w:type="dxa"/>
        <w:left w:w="15" w:type="dxa"/>
        <w:bottom w:w="15" w:type="dxa"/>
        <w:right w:w="15" w:type="dxa"/>
      </w:tblCellMar>
    </w:tblPr>
  </w:style>
  <w:style w:type="table" w:customStyle="1" w:styleId="afd">
    <w:basedOn w:val="TableNormal"/>
    <w:tblPr>
      <w:tblStyleRowBandSize w:val="1"/>
      <w:tblStyleColBandSize w:val="1"/>
      <w:tblCellMar>
        <w:top w:w="0" w:type="dxa"/>
        <w:left w:w="108" w:type="dxa"/>
        <w:bottom w:w="0" w:type="dxa"/>
        <w:right w:w="108" w:type="dxa"/>
      </w:tblCellMar>
    </w:tbl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55" w:type="dxa"/>
        <w:left w:w="55" w:type="dxa"/>
        <w:bottom w:w="55" w:type="dxa"/>
        <w:right w:w="55" w:type="dxa"/>
      </w:tblCellMar>
    </w:tblPr>
  </w:style>
  <w:style w:type="table" w:customStyle="1" w:styleId="aff0">
    <w:basedOn w:val="TableNormal"/>
    <w:tblPr>
      <w:tblStyleRowBandSize w:val="1"/>
      <w:tblStyleColBandSize w:val="1"/>
      <w:tblCellMar>
        <w:top w:w="0" w:type="dxa"/>
        <w:left w:w="0" w:type="dxa"/>
        <w:bottom w:w="0" w:type="dxa"/>
        <w:right w:w="0" w:type="dxa"/>
      </w:tblCellMar>
    </w:tbl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hern.maup.com.ua/wp-content/uploads/2025/09/2025-26_sazonova_portfolio.pdf" TargetMode="External"/><Relationship Id="rId13" Type="http://schemas.openxmlformats.org/officeDocument/2006/relationships/hyperlink" Target="https://doi.org/10.62227/as/74610" TargetMode="External"/><Relationship Id="rId18" Type="http://schemas.openxmlformats.org/officeDocument/2006/relationships/hyperlink" Target="https://doi.org/10.35433/philology.1(104).2025.51-63"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scholar.google.com/citations?hl=ru&amp;user=JJkBqScAAAAJ" TargetMode="External"/><Relationship Id="rId12" Type="http://schemas.openxmlformats.org/officeDocument/2006/relationships/hyperlink" Target="http://www.inmo.org.ua/sum.html" TargetMode="External"/><Relationship Id="rId17" Type="http://schemas.openxmlformats.org/officeDocument/2006/relationships/hyperlink" Target="https://www.scopus.com/pages/publications/105013643747" TargetMode="External"/><Relationship Id="rId2" Type="http://schemas.openxmlformats.org/officeDocument/2006/relationships/numbering" Target="numbering.xml"/><Relationship Id="rId16" Type="http://schemas.openxmlformats.org/officeDocument/2006/relationships/hyperlink" Target="https://doi.org/10.11591/edulearn.v19i4.2217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inmo.org.ua/sum.html" TargetMode="External"/><Relationship Id="rId5" Type="http://schemas.openxmlformats.org/officeDocument/2006/relationships/webSettings" Target="webSettings.xml"/><Relationship Id="rId15" Type="http://schemas.openxmlformats.org/officeDocument/2006/relationships/hyperlink" Target="https://www.magnanimitas.cz/ADALTA/130236/PDF/130236.pdf" TargetMode="External"/><Relationship Id="rId10" Type="http://schemas.openxmlformats.org/officeDocument/2006/relationships/hyperlink" Target="https://mon.gov.ua/storage/app/media/zagalna%20serednya/Pravopys.2019/ukr.pravopys-2019.pdf" TargetMode="External"/><Relationship Id="rId19" Type="http://schemas.openxmlformats.org/officeDocument/2006/relationships/hyperlink" Target="https://dialnet.unirioja.es/servlet/articulo?codigo=10072067" TargetMode="External"/><Relationship Id="rId4" Type="http://schemas.openxmlformats.org/officeDocument/2006/relationships/settings" Target="settings.xml"/><Relationship Id="rId9" Type="http://schemas.openxmlformats.org/officeDocument/2006/relationships/hyperlink" Target="https://zakon.rada.gov.ua/laws/show/2704-19" TargetMode="External"/><Relationship Id="rId14" Type="http://schemas.openxmlformats.org/officeDocument/2006/relationships/hyperlink" Target="https://doi.org/10.61707/zaa7yf77"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qCPs4xcoid3GBwm3saZtZfB1w==">CgMxLjAyDmgueWx1bjdmYTc4cHdzOAByITFJYnlvcXJrN2o1b2R3SE9pUVdFNTlOY3daSTVST0QxTg==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3628</Words>
  <Characters>20686</Characters>
  <Application>Microsoft Office Word</Application>
  <DocSecurity>0</DocSecurity>
  <Lines>172</Lines>
  <Paragraphs>48</Paragraphs>
  <ScaleCrop>false</ScaleCrop>
  <Company/>
  <LinksUpToDate>false</LinksUpToDate>
  <CharactersWithSpaces>24266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Boldy's Family BOOK</dc:creator>
  <cp:lastModifiedBy>Kateryna Polozhentseva</cp:lastModifiedBy>
  <cp:revision>2</cp:revision>
  <dcterms:created xsi:type="dcterms:W3CDTF">2026-02-17T17:01:00Z</dcterms:created>
  <dcterms:modified xsi:type="dcterms:W3CDTF">2026-02-17T17:01:00Z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9ab6026eace0d8973a03daee427f160d56914a97ee0babcdb1097b31969f8412</vt:lpwstr>
  </property>
  <property fmtid="{D5CDD505-2E9C-101B-9397-08002B2CF9AE}" pid="3" name="KSOProductBuildVer">
    <vt:lpwstr>1049-12.2.0.22549</vt:lpwstr>
  </property>
  <property fmtid="{D5CDD505-2E9C-101B-9397-08002B2CF9AE}" pid="4" name="ICV">
    <vt:lpwstr>04AEAD9BD7EF4E198B0F0814D153377C_12</vt:lpwstr>
  </property>
</Properties>
</file>