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3C66E" w14:textId="77777777" w:rsidR="00DE6403"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31E04CB8" w14:textId="77777777" w:rsidR="00DE6403"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04EBF1C2" w14:textId="77777777" w:rsidR="00DE6403" w:rsidRDefault="00DE6403">
      <w:pPr>
        <w:widowControl w:val="0"/>
        <w:numPr>
          <w:ilvl w:val="0"/>
          <w:numId w:val="1"/>
        </w:numPr>
        <w:spacing w:after="0" w:line="240" w:lineRule="auto"/>
        <w:rPr>
          <w:rFonts w:ascii="Times New Roman" w:eastAsia="Times New Roman" w:hAnsi="Times New Roman" w:cs="Times New Roman"/>
          <w:sz w:val="28"/>
          <w:szCs w:val="28"/>
        </w:rPr>
      </w:pPr>
    </w:p>
    <w:p w14:paraId="6AA65AD1" w14:textId="77777777" w:rsidR="00DE6403" w:rsidRDefault="00DE6403">
      <w:pPr>
        <w:widowControl w:val="0"/>
        <w:spacing w:after="0" w:line="240" w:lineRule="auto"/>
        <w:rPr>
          <w:rFonts w:ascii="Times New Roman" w:eastAsia="Times New Roman" w:hAnsi="Times New Roman" w:cs="Times New Roman"/>
          <w:sz w:val="28"/>
          <w:szCs w:val="28"/>
        </w:rPr>
      </w:pPr>
    </w:p>
    <w:p w14:paraId="0AF6FEB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76D8A285" wp14:editId="6FDFCF7C">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409740F9" w14:textId="77777777" w:rsidR="00DE6403" w:rsidRDefault="00DE6403">
      <w:pPr>
        <w:widowControl w:val="0"/>
        <w:spacing w:after="0" w:line="240" w:lineRule="auto"/>
        <w:rPr>
          <w:rFonts w:ascii="Times New Roman" w:eastAsia="Times New Roman" w:hAnsi="Times New Roman" w:cs="Times New Roman"/>
          <w:sz w:val="28"/>
          <w:szCs w:val="28"/>
        </w:rPr>
      </w:pPr>
    </w:p>
    <w:p w14:paraId="05A45FA9" w14:textId="77777777" w:rsidR="00DE6403" w:rsidRDefault="00DE6403">
      <w:pPr>
        <w:widowControl w:val="0"/>
        <w:spacing w:after="0" w:line="240" w:lineRule="auto"/>
        <w:rPr>
          <w:rFonts w:ascii="Times New Roman" w:eastAsia="Times New Roman" w:hAnsi="Times New Roman" w:cs="Times New Roman"/>
          <w:sz w:val="28"/>
          <w:szCs w:val="28"/>
        </w:rPr>
      </w:pPr>
    </w:p>
    <w:p w14:paraId="0DF689A6" w14:textId="77777777" w:rsidR="00DE6403" w:rsidRDefault="00DE6403">
      <w:pPr>
        <w:widowControl w:val="0"/>
        <w:spacing w:after="0" w:line="240" w:lineRule="auto"/>
        <w:rPr>
          <w:rFonts w:ascii="Times New Roman" w:eastAsia="Times New Roman" w:hAnsi="Times New Roman" w:cs="Times New Roman"/>
          <w:sz w:val="28"/>
          <w:szCs w:val="28"/>
        </w:rPr>
      </w:pPr>
    </w:p>
    <w:p w14:paraId="460B6212" w14:textId="77777777" w:rsidR="00DE6403" w:rsidRDefault="00DE6403">
      <w:pPr>
        <w:widowControl w:val="0"/>
        <w:spacing w:after="0" w:line="240" w:lineRule="auto"/>
        <w:rPr>
          <w:rFonts w:ascii="Times New Roman" w:eastAsia="Times New Roman" w:hAnsi="Times New Roman" w:cs="Times New Roman"/>
          <w:sz w:val="28"/>
          <w:szCs w:val="28"/>
        </w:rPr>
      </w:pPr>
    </w:p>
    <w:p w14:paraId="3DBE324B" w14:textId="77777777" w:rsidR="00DE6403" w:rsidRDefault="00000000">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t>SYLLABUS</w:t>
      </w:r>
    </w:p>
    <w:p w14:paraId="449C3459"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379110A6" w14:textId="77777777" w:rsidR="00DE6403" w:rsidRDefault="00DE6403">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p>
    <w:p w14:paraId="533893BC" w14:textId="77777777" w:rsidR="00DE6403" w:rsidRDefault="00000000">
      <w:pPr>
        <w:pStyle w:val="2"/>
        <w:keepNext w:val="0"/>
        <w:keepLines w:val="0"/>
        <w:widowControl w:val="0"/>
        <w:numPr>
          <w:ilvl w:val="0"/>
          <w:numId w:val="1"/>
        </w:numPr>
        <w:spacing w:before="0" w:line="240" w:lineRule="auto"/>
        <w:jc w:val="center"/>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color w:val="000000"/>
          <w:sz w:val="28"/>
          <w:szCs w:val="28"/>
        </w:rPr>
        <w:t>MANAGEMENT OF INTELLECTUAL PROPERTY</w:t>
      </w:r>
    </w:p>
    <w:p w14:paraId="3C886E8F" w14:textId="77777777" w:rsidR="00DE6403" w:rsidRDefault="00DE6403">
      <w:pPr>
        <w:widowControl w:val="0"/>
        <w:spacing w:after="0" w:line="240" w:lineRule="auto"/>
        <w:rPr>
          <w:rFonts w:ascii="Times New Roman" w:eastAsia="Times New Roman" w:hAnsi="Times New Roman" w:cs="Times New Roman"/>
          <w:sz w:val="28"/>
          <w:szCs w:val="28"/>
        </w:rPr>
      </w:pPr>
    </w:p>
    <w:p w14:paraId="590646EE" w14:textId="77777777" w:rsidR="00DE6403" w:rsidRDefault="00DE6403">
      <w:pPr>
        <w:widowControl w:val="0"/>
        <w:spacing w:after="0" w:line="240" w:lineRule="auto"/>
        <w:rPr>
          <w:rFonts w:ascii="Times New Roman" w:eastAsia="Times New Roman" w:hAnsi="Times New Roman" w:cs="Times New Roman"/>
          <w:sz w:val="28"/>
          <w:szCs w:val="28"/>
        </w:rPr>
      </w:pPr>
    </w:p>
    <w:p w14:paraId="60DBF046" w14:textId="77777777" w:rsidR="00DE6403" w:rsidRDefault="00DE6403">
      <w:pPr>
        <w:widowControl w:val="0"/>
        <w:spacing w:after="0" w:line="240" w:lineRule="auto"/>
        <w:rPr>
          <w:rFonts w:ascii="Times New Roman" w:eastAsia="Times New Roman" w:hAnsi="Times New Roman" w:cs="Times New Roman"/>
          <w:sz w:val="28"/>
          <w:szCs w:val="28"/>
        </w:rPr>
      </w:pPr>
    </w:p>
    <w:tbl>
      <w:tblPr>
        <w:tblStyle w:val="af7"/>
        <w:tblW w:w="9628" w:type="dxa"/>
        <w:tblInd w:w="-223" w:type="dxa"/>
        <w:tblLayout w:type="fixed"/>
        <w:tblLook w:val="0000" w:firstRow="0" w:lastRow="0" w:firstColumn="0" w:lastColumn="0" w:noHBand="0" w:noVBand="0"/>
      </w:tblPr>
      <w:tblGrid>
        <w:gridCol w:w="3936"/>
        <w:gridCol w:w="5692"/>
      </w:tblGrid>
      <w:tr w:rsidR="00DE6403" w14:paraId="2791236B" w14:textId="77777777">
        <w:tc>
          <w:tcPr>
            <w:tcW w:w="3936" w:type="dxa"/>
          </w:tcPr>
          <w:p w14:paraId="709DA922"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6B6E7948" w14:textId="77777777" w:rsidR="00DE6403" w:rsidRDefault="00DE6403">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082FA9C8"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DE6403" w14:paraId="02353F7F" w14:textId="77777777">
        <w:tc>
          <w:tcPr>
            <w:tcW w:w="3936" w:type="dxa"/>
          </w:tcPr>
          <w:p w14:paraId="06087779"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692" w:type="dxa"/>
          </w:tcPr>
          <w:p w14:paraId="0DDC07E5"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4D2792BD" w14:textId="77777777" w:rsidR="00DE6403" w:rsidRDefault="00DE6403">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r w:rsidR="00DE6403" w14:paraId="058AB9C7" w14:textId="77777777">
        <w:tc>
          <w:tcPr>
            <w:tcW w:w="3936" w:type="dxa"/>
          </w:tcPr>
          <w:p w14:paraId="4FD18EA7"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355A7A42" w14:textId="77777777" w:rsidR="00DE6403" w:rsidRDefault="00DE6403">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6B10FB6F"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DE6403" w14:paraId="6EC49F58" w14:textId="77777777">
        <w:tc>
          <w:tcPr>
            <w:tcW w:w="3936" w:type="dxa"/>
          </w:tcPr>
          <w:p w14:paraId="3605C2DD" w14:textId="77777777" w:rsidR="00DE6403"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692" w:type="dxa"/>
          </w:tcPr>
          <w:p w14:paraId="16115B46" w14:textId="77777777" w:rsidR="00DE6403" w:rsidRDefault="00000000">
            <w:pPr>
              <w:pStyle w:val="2"/>
              <w:keepNext w:val="0"/>
              <w:widowControl w:val="0"/>
              <w:spacing w:before="0" w:line="240" w:lineRule="auto"/>
              <w:rPr>
                <w:rFonts w:ascii="Times New Roman" w:eastAsia="Times New Roman" w:hAnsi="Times New Roman" w:cs="Times New Roman"/>
                <w:b/>
                <w:bCs/>
                <w:i/>
                <w:iCs/>
                <w:color w:val="000000"/>
                <w:sz w:val="28"/>
                <w:szCs w:val="28"/>
              </w:rPr>
            </w:pPr>
            <w:r>
              <w:rPr>
                <w:rFonts w:ascii="Times New Roman" w:eastAsia="Times New Roman" w:hAnsi="Times New Roman" w:cs="Times New Roman"/>
                <w:color w:val="000000"/>
                <w:sz w:val="28"/>
                <w:szCs w:val="28"/>
              </w:rPr>
              <w:t>Management</w:t>
            </w:r>
          </w:p>
          <w:p w14:paraId="32E74EBE" w14:textId="77777777" w:rsidR="00DE6403" w:rsidRDefault="00DE6403">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bl>
    <w:p w14:paraId="0821E863"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17DCC35B" w14:textId="77777777" w:rsidR="00DE6403" w:rsidRDefault="00DE6403">
      <w:pPr>
        <w:widowControl w:val="0"/>
        <w:spacing w:after="0" w:line="240" w:lineRule="auto"/>
        <w:rPr>
          <w:rFonts w:ascii="Times New Roman" w:eastAsia="Times New Roman" w:hAnsi="Times New Roman" w:cs="Times New Roman"/>
          <w:sz w:val="28"/>
          <w:szCs w:val="28"/>
        </w:rPr>
      </w:pPr>
    </w:p>
    <w:p w14:paraId="0B3F460A" w14:textId="77777777" w:rsidR="00DE6403" w:rsidRDefault="00DE6403">
      <w:pPr>
        <w:widowControl w:val="0"/>
        <w:spacing w:after="0" w:line="240" w:lineRule="auto"/>
        <w:rPr>
          <w:rFonts w:ascii="Times New Roman" w:eastAsia="Times New Roman" w:hAnsi="Times New Roman" w:cs="Times New Roman"/>
          <w:sz w:val="28"/>
          <w:szCs w:val="28"/>
        </w:rPr>
      </w:pPr>
    </w:p>
    <w:p w14:paraId="156EA828" w14:textId="77777777" w:rsidR="00DE6403" w:rsidRDefault="00DE6403">
      <w:pPr>
        <w:widowControl w:val="0"/>
        <w:spacing w:after="0" w:line="240" w:lineRule="auto"/>
        <w:rPr>
          <w:rFonts w:ascii="Times New Roman" w:eastAsia="Times New Roman" w:hAnsi="Times New Roman" w:cs="Times New Roman"/>
          <w:sz w:val="28"/>
          <w:szCs w:val="28"/>
        </w:rPr>
      </w:pPr>
    </w:p>
    <w:p w14:paraId="5135B4B0"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14619995" w14:textId="77777777" w:rsidR="00DE6403" w:rsidRDefault="00DE6403">
      <w:pPr>
        <w:widowControl w:val="0"/>
        <w:spacing w:after="0" w:line="240" w:lineRule="auto"/>
        <w:rPr>
          <w:rFonts w:ascii="Times New Roman" w:eastAsia="Times New Roman" w:hAnsi="Times New Roman" w:cs="Times New Roman"/>
          <w:sz w:val="28"/>
          <w:szCs w:val="28"/>
        </w:rPr>
      </w:pPr>
    </w:p>
    <w:p w14:paraId="7F4DB434" w14:textId="77777777" w:rsidR="00DE6403" w:rsidRDefault="00DE6403">
      <w:pPr>
        <w:widowControl w:val="0"/>
        <w:spacing w:after="0" w:line="240" w:lineRule="auto"/>
        <w:rPr>
          <w:rFonts w:ascii="Times New Roman" w:eastAsia="Times New Roman" w:hAnsi="Times New Roman" w:cs="Times New Roman"/>
          <w:sz w:val="28"/>
          <w:szCs w:val="28"/>
        </w:rPr>
      </w:pPr>
    </w:p>
    <w:p w14:paraId="63072F3E" w14:textId="77777777" w:rsidR="00DE6403" w:rsidRDefault="00DE6403">
      <w:pPr>
        <w:widowControl w:val="0"/>
        <w:spacing w:after="0" w:line="240" w:lineRule="auto"/>
        <w:rPr>
          <w:rFonts w:ascii="Times New Roman" w:eastAsia="Times New Roman" w:hAnsi="Times New Roman" w:cs="Times New Roman"/>
          <w:sz w:val="28"/>
          <w:szCs w:val="28"/>
        </w:rPr>
      </w:pPr>
    </w:p>
    <w:p w14:paraId="25AC3D35"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5BB4F25E" w14:textId="77777777" w:rsidR="00DE6403" w:rsidRDefault="00DE6403">
      <w:pPr>
        <w:widowControl w:val="0"/>
        <w:spacing w:after="0" w:line="240" w:lineRule="auto"/>
        <w:rPr>
          <w:rFonts w:ascii="Times New Roman" w:eastAsia="Times New Roman" w:hAnsi="Times New Roman" w:cs="Times New Roman"/>
          <w:sz w:val="28"/>
          <w:szCs w:val="28"/>
        </w:rPr>
      </w:pPr>
    </w:p>
    <w:p w14:paraId="47C2F15D" w14:textId="77777777" w:rsidR="00DE6403" w:rsidRDefault="00DE6403">
      <w:pPr>
        <w:widowControl w:val="0"/>
        <w:spacing w:after="0" w:line="240" w:lineRule="auto"/>
        <w:rPr>
          <w:rFonts w:ascii="Times New Roman" w:eastAsia="Times New Roman" w:hAnsi="Times New Roman" w:cs="Times New Roman"/>
          <w:sz w:val="28"/>
          <w:szCs w:val="28"/>
        </w:rPr>
      </w:pPr>
    </w:p>
    <w:p w14:paraId="1CB2683C" w14:textId="77777777" w:rsidR="00DE6403" w:rsidRDefault="00DE6403">
      <w:pPr>
        <w:widowControl w:val="0"/>
        <w:spacing w:after="0" w:line="240" w:lineRule="auto"/>
        <w:jc w:val="center"/>
        <w:rPr>
          <w:rFonts w:ascii="Times New Roman" w:eastAsia="Times New Roman" w:hAnsi="Times New Roman" w:cs="Times New Roman"/>
          <w:b/>
          <w:bCs/>
          <w:sz w:val="28"/>
          <w:szCs w:val="28"/>
        </w:rPr>
      </w:pPr>
    </w:p>
    <w:p w14:paraId="03558B69" w14:textId="77777777" w:rsidR="00DE6403" w:rsidRDefault="00DE6403">
      <w:pPr>
        <w:widowControl w:val="0"/>
        <w:spacing w:after="0" w:line="240" w:lineRule="auto"/>
        <w:jc w:val="both"/>
        <w:rPr>
          <w:rFonts w:ascii="Times New Roman" w:eastAsia="Times New Roman" w:hAnsi="Times New Roman" w:cs="Times New Roman"/>
          <w:b/>
          <w:bCs/>
          <w:i/>
          <w:iCs/>
          <w:sz w:val="28"/>
          <w:szCs w:val="28"/>
        </w:rPr>
      </w:pPr>
    </w:p>
    <w:p w14:paraId="03D1E4CF"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General information about the academic discipline</w:t>
      </w:r>
    </w:p>
    <w:p w14:paraId="26438C61" w14:textId="77777777" w:rsidR="00DE6403" w:rsidRDefault="00DE6403">
      <w:pPr>
        <w:widowControl w:val="0"/>
        <w:spacing w:after="0" w:line="240" w:lineRule="auto"/>
        <w:rPr>
          <w:rFonts w:ascii="Times New Roman" w:eastAsia="Times New Roman" w:hAnsi="Times New Roman" w:cs="Times New Roman"/>
          <w:b/>
          <w:bCs/>
          <w:sz w:val="28"/>
          <w:szCs w:val="28"/>
        </w:rPr>
      </w:pPr>
    </w:p>
    <w:tbl>
      <w:tblPr>
        <w:tblStyle w:val="af8"/>
        <w:tblpPr w:leftFromText="180" w:rightFromText="180" w:vertAnchor="text" w:tblpX="91" w:tblpY="293"/>
        <w:tblW w:w="9606" w:type="dxa"/>
        <w:tblInd w:w="0" w:type="dxa"/>
        <w:tblLayout w:type="fixed"/>
        <w:tblLook w:val="0000" w:firstRow="0" w:lastRow="0" w:firstColumn="0" w:lastColumn="0" w:noHBand="0" w:noVBand="0"/>
      </w:tblPr>
      <w:tblGrid>
        <w:gridCol w:w="4644"/>
        <w:gridCol w:w="4962"/>
      </w:tblGrid>
      <w:tr w:rsidR="00DE6403" w14:paraId="5CCBE22B" w14:textId="77777777">
        <w:trPr>
          <w:trHeight w:val="290"/>
        </w:trPr>
        <w:tc>
          <w:tcPr>
            <w:tcW w:w="4644" w:type="dxa"/>
            <w:tcBorders>
              <w:top w:val="single" w:sz="4" w:space="0" w:color="000000"/>
              <w:left w:val="single" w:sz="4" w:space="0" w:color="000000"/>
              <w:bottom w:val="single" w:sz="4" w:space="0" w:color="000000"/>
              <w:right w:val="single" w:sz="4" w:space="0" w:color="000000"/>
            </w:tcBorders>
          </w:tcPr>
          <w:p w14:paraId="086D1B0A"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4962" w:type="dxa"/>
            <w:tcBorders>
              <w:top w:val="single" w:sz="4" w:space="0" w:color="000000"/>
              <w:left w:val="single" w:sz="4" w:space="0" w:color="000000"/>
              <w:bottom w:val="single" w:sz="4" w:space="0" w:color="000000"/>
              <w:right w:val="single" w:sz="4" w:space="0" w:color="000000"/>
            </w:tcBorders>
          </w:tcPr>
          <w:p w14:paraId="5CB31224"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Management of intellectual property</w:t>
            </w:r>
          </w:p>
        </w:tc>
      </w:tr>
      <w:tr w:rsidR="00DE6403" w14:paraId="50465486" w14:textId="77777777">
        <w:trPr>
          <w:trHeight w:val="289"/>
        </w:trPr>
        <w:tc>
          <w:tcPr>
            <w:tcW w:w="4644" w:type="dxa"/>
            <w:tcBorders>
              <w:top w:val="single" w:sz="4" w:space="0" w:color="000000"/>
              <w:left w:val="single" w:sz="4" w:space="0" w:color="000000"/>
              <w:bottom w:val="single" w:sz="4" w:space="0" w:color="000000"/>
              <w:right w:val="single" w:sz="4" w:space="0" w:color="000000"/>
            </w:tcBorders>
          </w:tcPr>
          <w:p w14:paraId="14B06577"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4962" w:type="dxa"/>
            <w:tcBorders>
              <w:top w:val="single" w:sz="4" w:space="0" w:color="000000"/>
              <w:left w:val="single" w:sz="4" w:space="0" w:color="000000"/>
              <w:bottom w:val="single" w:sz="4" w:space="0" w:color="000000"/>
              <w:right w:val="single" w:sz="4" w:space="0" w:color="000000"/>
            </w:tcBorders>
          </w:tcPr>
          <w:p w14:paraId="4E31318A"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DE6403" w14:paraId="7B608B3E" w14:textId="77777777">
        <w:trPr>
          <w:trHeight w:val="372"/>
        </w:trPr>
        <w:tc>
          <w:tcPr>
            <w:tcW w:w="4644" w:type="dxa"/>
            <w:tcBorders>
              <w:top w:val="single" w:sz="4" w:space="0" w:color="000000"/>
              <w:left w:val="single" w:sz="4" w:space="0" w:color="000000"/>
              <w:bottom w:val="single" w:sz="4" w:space="0" w:color="000000"/>
              <w:right w:val="single" w:sz="4" w:space="0" w:color="000000"/>
            </w:tcBorders>
          </w:tcPr>
          <w:p w14:paraId="352566E8"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4962" w:type="dxa"/>
            <w:tcBorders>
              <w:top w:val="single" w:sz="4" w:space="0" w:color="000000"/>
              <w:left w:val="single" w:sz="4" w:space="0" w:color="000000"/>
              <w:bottom w:val="single" w:sz="4" w:space="0" w:color="000000"/>
              <w:right w:val="single" w:sz="4" w:space="0" w:color="000000"/>
            </w:tcBorders>
          </w:tcPr>
          <w:p w14:paraId="76E99E08"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DE6403" w14:paraId="332BD74A" w14:textId="77777777">
        <w:trPr>
          <w:trHeight w:val="386"/>
        </w:trPr>
        <w:tc>
          <w:tcPr>
            <w:tcW w:w="4644" w:type="dxa"/>
            <w:tcBorders>
              <w:top w:val="single" w:sz="4" w:space="0" w:color="000000"/>
              <w:left w:val="single" w:sz="4" w:space="0" w:color="000000"/>
              <w:bottom w:val="single" w:sz="4" w:space="0" w:color="000000"/>
              <w:right w:val="single" w:sz="4" w:space="0" w:color="000000"/>
            </w:tcBorders>
          </w:tcPr>
          <w:p w14:paraId="41CAD0EB" w14:textId="77777777" w:rsidR="00DE6403" w:rsidRDefault="00000000">
            <w:pPr>
              <w:widowControl w:val="0"/>
              <w:spacing w:after="0"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1CBDA9E7"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DE6403" w14:paraId="6C9ED5CE" w14:textId="77777777">
        <w:trPr>
          <w:trHeight w:val="1189"/>
        </w:trPr>
        <w:tc>
          <w:tcPr>
            <w:tcW w:w="4644" w:type="dxa"/>
            <w:tcBorders>
              <w:top w:val="single" w:sz="4" w:space="0" w:color="000000"/>
              <w:left w:val="single" w:sz="4" w:space="0" w:color="000000"/>
              <w:bottom w:val="single" w:sz="4" w:space="0" w:color="000000"/>
              <w:right w:val="single" w:sz="4" w:space="0" w:color="000000"/>
            </w:tcBorders>
          </w:tcPr>
          <w:p w14:paraId="33EEF997"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4962" w:type="dxa"/>
            <w:tcBorders>
              <w:top w:val="single" w:sz="4" w:space="0" w:color="000000"/>
              <w:left w:val="single" w:sz="4" w:space="0" w:color="000000"/>
              <w:bottom w:val="single" w:sz="4" w:space="0" w:color="000000"/>
              <w:right w:val="single" w:sz="4" w:space="0" w:color="000000"/>
            </w:tcBorders>
          </w:tcPr>
          <w:p w14:paraId="71E9E92C"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credits/120 hours</w:t>
            </w:r>
          </w:p>
          <w:p w14:paraId="35A33C97" w14:textId="77777777" w:rsidR="00DE6403"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20 hours</w:t>
            </w:r>
          </w:p>
          <w:p w14:paraId="52582D38" w14:textId="77777777" w:rsidR="00DE6403"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Seminar classes: 20 hours</w:t>
            </w:r>
          </w:p>
          <w:p w14:paraId="1BCB984F" w14:textId="77777777" w:rsidR="00DE6403"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Students’ independent work: 80 hours</w:t>
            </w:r>
          </w:p>
        </w:tc>
      </w:tr>
      <w:tr w:rsidR="00DE6403" w14:paraId="042B439C" w14:textId="77777777">
        <w:trPr>
          <w:trHeight w:val="393"/>
        </w:trPr>
        <w:tc>
          <w:tcPr>
            <w:tcW w:w="4644" w:type="dxa"/>
            <w:tcBorders>
              <w:top w:val="single" w:sz="4" w:space="0" w:color="000000"/>
              <w:left w:val="single" w:sz="4" w:space="0" w:color="000000"/>
              <w:bottom w:val="single" w:sz="4" w:space="0" w:color="000000"/>
              <w:right w:val="single" w:sz="4" w:space="0" w:color="000000"/>
            </w:tcBorders>
          </w:tcPr>
          <w:p w14:paraId="247D2823"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4962" w:type="dxa"/>
            <w:tcBorders>
              <w:top w:val="single" w:sz="4" w:space="0" w:color="000000"/>
              <w:left w:val="single" w:sz="4" w:space="0" w:color="000000"/>
              <w:bottom w:val="single" w:sz="4" w:space="0" w:color="000000"/>
              <w:right w:val="single" w:sz="4" w:space="0" w:color="000000"/>
            </w:tcBorders>
          </w:tcPr>
          <w:p w14:paraId="70799A8F"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DE6403" w14:paraId="56430AE3" w14:textId="77777777">
        <w:trPr>
          <w:trHeight w:val="376"/>
        </w:trPr>
        <w:tc>
          <w:tcPr>
            <w:tcW w:w="4644" w:type="dxa"/>
            <w:tcBorders>
              <w:top w:val="single" w:sz="4" w:space="0" w:color="000000"/>
              <w:left w:val="single" w:sz="4" w:space="0" w:color="000000"/>
              <w:bottom w:val="single" w:sz="4" w:space="0" w:color="000000"/>
              <w:right w:val="single" w:sz="4" w:space="0" w:color="000000"/>
            </w:tcBorders>
          </w:tcPr>
          <w:p w14:paraId="0ACD5B44"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4962" w:type="dxa"/>
            <w:tcBorders>
              <w:top w:val="single" w:sz="4" w:space="0" w:color="000000"/>
              <w:left w:val="single" w:sz="4" w:space="0" w:color="000000"/>
              <w:bottom w:val="single" w:sz="4" w:space="0" w:color="000000"/>
              <w:right w:val="single" w:sz="4" w:space="0" w:color="000000"/>
            </w:tcBorders>
          </w:tcPr>
          <w:p w14:paraId="0332FDE6"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DE6403" w14:paraId="40CF1F51" w14:textId="77777777">
        <w:trPr>
          <w:trHeight w:val="335"/>
        </w:trPr>
        <w:tc>
          <w:tcPr>
            <w:tcW w:w="4644" w:type="dxa"/>
            <w:tcBorders>
              <w:top w:val="single" w:sz="4" w:space="0" w:color="000000"/>
              <w:left w:val="single" w:sz="4" w:space="0" w:color="000000"/>
              <w:bottom w:val="single" w:sz="4" w:space="0" w:color="000000"/>
              <w:right w:val="single" w:sz="4" w:space="0" w:color="000000"/>
            </w:tcBorders>
          </w:tcPr>
          <w:p w14:paraId="6505985B"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4962" w:type="dxa"/>
            <w:tcBorders>
              <w:top w:val="single" w:sz="4" w:space="0" w:color="000000"/>
              <w:left w:val="single" w:sz="4" w:space="0" w:color="000000"/>
              <w:bottom w:val="single" w:sz="4" w:space="0" w:color="000000"/>
              <w:right w:val="single" w:sz="4" w:space="0" w:color="000000"/>
            </w:tcBorders>
          </w:tcPr>
          <w:p w14:paraId="22B2CF80"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64F13AA5" w14:textId="77777777" w:rsidR="00DE6403" w:rsidRDefault="00DE6403">
      <w:pPr>
        <w:widowControl w:val="0"/>
        <w:spacing w:after="0" w:line="240" w:lineRule="auto"/>
        <w:rPr>
          <w:rFonts w:ascii="Times New Roman" w:eastAsia="Times New Roman" w:hAnsi="Times New Roman" w:cs="Times New Roman"/>
          <w:b/>
          <w:bCs/>
          <w:sz w:val="28"/>
          <w:szCs w:val="28"/>
        </w:rPr>
      </w:pPr>
    </w:p>
    <w:p w14:paraId="1563AC14"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2BCD3077" w14:textId="77777777" w:rsidR="00DE6403" w:rsidRDefault="00DE6403">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3931"/>
        <w:gridCol w:w="5419"/>
      </w:tblGrid>
      <w:tr w:rsidR="00471D99" w:rsidRPr="00471D99" w14:paraId="7AE2FAE7" w14:textId="77777777" w:rsidTr="003F6EBB">
        <w:trPr>
          <w:trHeight w:val="222"/>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E1EDEDC"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Full name of the instructor</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1587DE8"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 xml:space="preserve">Kateryna Polozhentseva </w:t>
            </w:r>
          </w:p>
        </w:tc>
      </w:tr>
      <w:tr w:rsidR="00471D99" w:rsidRPr="00471D99" w14:paraId="53256619" w14:textId="77777777" w:rsidTr="003F6EBB">
        <w:trPr>
          <w:trHeight w:val="80"/>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0C07703"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Academic degree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A29B1D"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PhD Economic Sciences, Associate Professor;</w:t>
            </w:r>
          </w:p>
        </w:tc>
      </w:tr>
      <w:tr w:rsidR="00471D99" w:rsidRPr="00471D99" w14:paraId="3499B8AB" w14:textId="77777777" w:rsidTr="003F6EBB">
        <w:trPr>
          <w:trHeight w:val="19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CCAC09F"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Position</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94C710C"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Associate Professor</w:t>
            </w:r>
          </w:p>
        </w:tc>
      </w:tr>
      <w:tr w:rsidR="00471D99" w:rsidRPr="00471D99" w14:paraId="78F97265" w14:textId="77777777" w:rsidTr="003F6EBB">
        <w:trPr>
          <w:trHeight w:val="36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84E53C3"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Areas of scientific research</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FF018EF"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Economics, management</w:t>
            </w:r>
          </w:p>
        </w:tc>
      </w:tr>
      <w:tr w:rsidR="00471D99" w:rsidRPr="00471D99" w14:paraId="4DAF6B48"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4A68A46"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Links to the registers of identifiers for scientists</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4136364" w14:textId="77777777" w:rsidR="00471D99" w:rsidRPr="00471D99" w:rsidRDefault="00471D99" w:rsidP="00471D99">
            <w:pPr>
              <w:tabs>
                <w:tab w:val="left" w:pos="1155"/>
              </w:tabs>
              <w:suppressAutoHyphens/>
              <w:spacing w:after="0"/>
              <w:rPr>
                <w:rFonts w:ascii="Times New Roman" w:hAnsi="Times New Roman" w:cs="Times New Roman"/>
                <w:bCs/>
                <w:sz w:val="24"/>
                <w:szCs w:val="24"/>
                <w:lang w:val="uk-UA" w:eastAsia="ru-RU"/>
              </w:rPr>
            </w:pPr>
            <w:r w:rsidRPr="00471D99">
              <w:rPr>
                <w:rFonts w:ascii="Times New Roman" w:hAnsi="Times New Roman" w:cs="Times New Roman"/>
                <w:bCs/>
                <w:sz w:val="24"/>
                <w:szCs w:val="24"/>
                <w:lang w:val="ru-RU" w:eastAsia="ru-RU"/>
              </w:rPr>
              <w:t xml:space="preserve">ORCID: 0000-0002-9539-5628 </w:t>
            </w:r>
          </w:p>
          <w:p w14:paraId="06D8C381" w14:textId="77777777" w:rsidR="00471D99" w:rsidRPr="00471D99" w:rsidRDefault="00471D99" w:rsidP="00471D99">
            <w:pPr>
              <w:tabs>
                <w:tab w:val="left" w:pos="1155"/>
              </w:tabs>
              <w:suppressAutoHyphens/>
              <w:spacing w:after="0"/>
              <w:rPr>
                <w:rFonts w:ascii="Times New Roman" w:hAnsi="Times New Roman" w:cs="Times New Roman"/>
                <w:bCs/>
                <w:sz w:val="24"/>
                <w:szCs w:val="24"/>
                <w:lang w:val="ru-UA" w:eastAsia="ru-RU"/>
              </w:rPr>
            </w:pPr>
            <w:r w:rsidRPr="00471D99">
              <w:rPr>
                <w:rFonts w:ascii="Times New Roman" w:hAnsi="Times New Roman" w:cs="Times New Roman"/>
                <w:bCs/>
                <w:sz w:val="24"/>
                <w:szCs w:val="24"/>
                <w:lang w:val="en" w:eastAsia="ru-RU"/>
              </w:rPr>
              <w:t>Google Scholar Profile:</w:t>
            </w:r>
          </w:p>
          <w:p w14:paraId="44D0ECFA" w14:textId="77777777" w:rsidR="00471D99" w:rsidRPr="00471D99" w:rsidRDefault="00471D99" w:rsidP="00471D99">
            <w:pPr>
              <w:tabs>
                <w:tab w:val="left" w:pos="1155"/>
              </w:tabs>
              <w:suppressAutoHyphens/>
              <w:spacing w:after="0"/>
              <w:rPr>
                <w:rFonts w:ascii="Times New Roman" w:hAnsi="Times New Roman" w:cs="Times New Roman"/>
                <w:bCs/>
                <w:sz w:val="24"/>
                <w:szCs w:val="24"/>
                <w:lang w:val="uk-UA" w:eastAsia="ru-RU"/>
              </w:rPr>
            </w:pPr>
            <w:hyperlink r:id="rId7" w:history="1">
              <w:r w:rsidRPr="00471D99">
                <w:rPr>
                  <w:rFonts w:ascii="Times New Roman" w:hAnsi="Times New Roman" w:cs="Times New Roman"/>
                  <w:bCs/>
                  <w:color w:val="0000FF"/>
                  <w:sz w:val="24"/>
                  <w:szCs w:val="24"/>
                  <w:u w:val="single"/>
                  <w:lang w:val="ru-RU" w:eastAsia="ru-RU"/>
                </w:rPr>
                <w:t>https://scholar.google.com.ua/citations?</w:t>
              </w:r>
              <w:r w:rsidRPr="00471D99">
                <w:rPr>
                  <w:rFonts w:ascii="Times New Roman" w:hAnsi="Times New Roman" w:cs="Times New Roman"/>
                  <w:bCs/>
                  <w:color w:val="0000FF"/>
                  <w:sz w:val="24"/>
                  <w:szCs w:val="24"/>
                  <w:u w:val="single"/>
                  <w:lang w:val="en-US" w:eastAsia="ru-RU"/>
                </w:rPr>
                <w:t xml:space="preserve"> </w:t>
              </w:r>
              <w:proofErr w:type="spellStart"/>
              <w:r w:rsidRPr="00471D99">
                <w:rPr>
                  <w:rFonts w:ascii="Times New Roman" w:hAnsi="Times New Roman" w:cs="Times New Roman"/>
                  <w:bCs/>
                  <w:color w:val="0000FF"/>
                  <w:sz w:val="24"/>
                  <w:szCs w:val="24"/>
                  <w:u w:val="single"/>
                  <w:lang w:val="ru-RU" w:eastAsia="ru-RU"/>
                </w:rPr>
                <w:t>user</w:t>
              </w:r>
              <w:proofErr w:type="spellEnd"/>
              <w:r w:rsidRPr="00471D99">
                <w:rPr>
                  <w:rFonts w:ascii="Times New Roman" w:hAnsi="Times New Roman" w:cs="Times New Roman"/>
                  <w:bCs/>
                  <w:color w:val="0000FF"/>
                  <w:sz w:val="24"/>
                  <w:szCs w:val="24"/>
                  <w:u w:val="single"/>
                  <w:lang w:val="ru-RU" w:eastAsia="ru-RU"/>
                </w:rPr>
                <w:t>=NzNa_2EAAAAJ&amp;hl=</w:t>
              </w:r>
              <w:proofErr w:type="spellStart"/>
              <w:r w:rsidRPr="00471D99">
                <w:rPr>
                  <w:rFonts w:ascii="Times New Roman" w:hAnsi="Times New Roman" w:cs="Times New Roman"/>
                  <w:bCs/>
                  <w:color w:val="0000FF"/>
                  <w:sz w:val="24"/>
                  <w:szCs w:val="24"/>
                  <w:u w:val="single"/>
                  <w:lang w:val="ru-RU" w:eastAsia="ru-RU"/>
                </w:rPr>
                <w:t>uk</w:t>
              </w:r>
              <w:proofErr w:type="spellEnd"/>
            </w:hyperlink>
            <w:r w:rsidRPr="00471D99">
              <w:rPr>
                <w:rFonts w:ascii="Times New Roman" w:hAnsi="Times New Roman" w:cs="Times New Roman"/>
                <w:bCs/>
                <w:sz w:val="24"/>
                <w:szCs w:val="24"/>
                <w:lang w:val="ru-RU" w:eastAsia="ru-RU"/>
              </w:rPr>
              <w:t xml:space="preserve"> </w:t>
            </w:r>
          </w:p>
          <w:p w14:paraId="1E2006BE"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bCs/>
                <w:kern w:val="2"/>
                <w:sz w:val="24"/>
                <w:szCs w:val="24"/>
                <w:lang w:val="en-US" w:eastAsia="en-US"/>
              </w:rPr>
              <w:t xml:space="preserve">Scopus Author ID: </w:t>
            </w:r>
            <w:hyperlink r:id="rId8" w:history="1">
              <w:r w:rsidRPr="00471D99">
                <w:rPr>
                  <w:rFonts w:ascii="Times New Roman" w:hAnsi="Times New Roman" w:cs="Times New Roman"/>
                  <w:bCs/>
                  <w:color w:val="0000FF"/>
                  <w:kern w:val="2"/>
                  <w:sz w:val="24"/>
                  <w:szCs w:val="24"/>
                  <w:u w:val="single"/>
                  <w:lang w:val="en-US" w:eastAsia="en-US"/>
                </w:rPr>
                <w:t xml:space="preserve">https://www.scopus.com/authid/detail.uri? </w:t>
              </w:r>
              <w:proofErr w:type="spellStart"/>
              <w:r w:rsidRPr="00471D99">
                <w:rPr>
                  <w:rFonts w:ascii="Times New Roman" w:hAnsi="Times New Roman" w:cs="Times New Roman"/>
                  <w:bCs/>
                  <w:color w:val="0000FF"/>
                  <w:kern w:val="2"/>
                  <w:sz w:val="24"/>
                  <w:szCs w:val="24"/>
                  <w:u w:val="single"/>
                  <w:lang w:val="en-US" w:eastAsia="en-US"/>
                </w:rPr>
                <w:t>authorId</w:t>
              </w:r>
              <w:proofErr w:type="spellEnd"/>
              <w:r w:rsidRPr="00471D99">
                <w:rPr>
                  <w:rFonts w:ascii="Times New Roman" w:hAnsi="Times New Roman" w:cs="Times New Roman"/>
                  <w:bCs/>
                  <w:color w:val="0000FF"/>
                  <w:kern w:val="2"/>
                  <w:sz w:val="24"/>
                  <w:szCs w:val="24"/>
                  <w:u w:val="single"/>
                  <w:lang w:val="en-US" w:eastAsia="en-US"/>
                </w:rPr>
                <w:t>=36069852900</w:t>
              </w:r>
            </w:hyperlink>
            <w:r w:rsidRPr="00471D99">
              <w:rPr>
                <w:rFonts w:ascii="Times New Roman" w:hAnsi="Times New Roman" w:cs="Times New Roman"/>
                <w:bCs/>
                <w:kern w:val="2"/>
                <w:sz w:val="24"/>
                <w:szCs w:val="24"/>
                <w:lang w:val="uk-UA" w:eastAsia="en-US"/>
              </w:rPr>
              <w:t xml:space="preserve"> </w:t>
            </w:r>
            <w:r w:rsidRPr="00471D99">
              <w:rPr>
                <w:rFonts w:ascii="Times New Roman" w:hAnsi="Times New Roman" w:cs="Times New Roman"/>
                <w:bCs/>
                <w:kern w:val="2"/>
                <w:sz w:val="24"/>
                <w:szCs w:val="24"/>
                <w:lang w:val="en-US" w:eastAsia="en-US"/>
              </w:rPr>
              <w:t xml:space="preserve"> </w:t>
            </w:r>
            <w:r w:rsidRPr="00471D99">
              <w:rPr>
                <w:rFonts w:ascii="Times New Roman" w:hAnsi="Times New Roman" w:cs="Times New Roman"/>
                <w:bCs/>
                <w:kern w:val="2"/>
                <w:sz w:val="24"/>
                <w:szCs w:val="24"/>
                <w:lang w:val="uk-UA" w:eastAsia="en-US"/>
              </w:rPr>
              <w:t xml:space="preserve">  </w:t>
            </w:r>
          </w:p>
        </w:tc>
      </w:tr>
      <w:tr w:rsidR="00471D99" w:rsidRPr="00471D99" w14:paraId="4D6FC2E2"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DB39534"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Contact information</w:t>
            </w:r>
          </w:p>
        </w:tc>
      </w:tr>
      <w:tr w:rsidR="00471D99" w:rsidRPr="00471D99" w14:paraId="6BA3488C"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3942D85"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E-mail:</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6A323DA"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p>
        </w:tc>
      </w:tr>
      <w:tr w:rsidR="00471D99" w:rsidRPr="00471D99" w14:paraId="6207755D"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223017E"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Department phone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3FD287F"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p>
        </w:tc>
      </w:tr>
      <w:tr w:rsidR="00471D99" w:rsidRPr="00471D99" w14:paraId="117B3C4E"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32E59D5"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r w:rsidRPr="00471D99">
              <w:rPr>
                <w:rFonts w:ascii="Times New Roman" w:hAnsi="Times New Roman" w:cs="Times New Roman"/>
                <w:kern w:val="2"/>
                <w:sz w:val="28"/>
                <w:szCs w:val="28"/>
                <w:lang w:val="en-US" w:eastAsia="en-US"/>
              </w:rPr>
              <w:t>Instructor’s portfolio on the website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439338B" w14:textId="77777777" w:rsidR="00471D99" w:rsidRPr="00471D99" w:rsidRDefault="00471D99" w:rsidP="00471D99">
            <w:pPr>
              <w:spacing w:after="0" w:line="240" w:lineRule="auto"/>
              <w:rPr>
                <w:rFonts w:ascii="Times New Roman" w:hAnsi="Times New Roman" w:cs="Times New Roman"/>
                <w:kern w:val="2"/>
                <w:sz w:val="28"/>
                <w:szCs w:val="28"/>
                <w:lang w:val="en-US" w:eastAsia="en-US"/>
              </w:rPr>
            </w:pPr>
            <w:hyperlink r:id="rId9" w:history="1">
              <w:r w:rsidRPr="00471D99">
                <w:rPr>
                  <w:rFonts w:ascii="Times New Roman" w:hAnsi="Times New Roman" w:cs="Times New Roman"/>
                  <w:color w:val="0000FF"/>
                  <w:kern w:val="2"/>
                  <w:sz w:val="28"/>
                  <w:szCs w:val="28"/>
                  <w:u w:val="single"/>
                  <w:lang w:val="en-US" w:eastAsia="en-US"/>
                </w:rPr>
                <w:t>https://chern.maup.com.ua/wp-content/uploads/2024/02/2024_polozhenceva-k.l.-portfolio-maup-1.pdf</w:t>
              </w:r>
            </w:hyperlink>
            <w:r w:rsidRPr="00471D99">
              <w:rPr>
                <w:rFonts w:ascii="Times New Roman" w:hAnsi="Times New Roman" w:cs="Times New Roman"/>
                <w:kern w:val="2"/>
                <w:sz w:val="28"/>
                <w:szCs w:val="28"/>
                <w:lang w:val="en-US" w:eastAsia="en-US"/>
              </w:rPr>
              <w:t xml:space="preserve">      </w:t>
            </w:r>
          </w:p>
        </w:tc>
      </w:tr>
    </w:tbl>
    <w:p w14:paraId="41481CA3" w14:textId="77777777" w:rsidR="00DE6403" w:rsidRDefault="00DE6403">
      <w:pPr>
        <w:widowControl w:val="0"/>
        <w:jc w:val="both"/>
        <w:rPr>
          <w:b/>
          <w:bCs/>
          <w:sz w:val="28"/>
          <w:szCs w:val="28"/>
        </w:rPr>
      </w:pPr>
    </w:p>
    <w:p w14:paraId="067F6C77" w14:textId="77777777" w:rsidR="00DE6403"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Discipline’s description. </w:t>
      </w:r>
    </w:p>
    <w:p w14:paraId="6170BD23"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discipline reveals the role of intellectual property as a key resource in the transition to a knowledge-based economy. The relevance of the course is determined by the </w:t>
      </w:r>
      <w:r>
        <w:rPr>
          <w:rFonts w:ascii="Times New Roman" w:eastAsia="Times New Roman" w:hAnsi="Times New Roman" w:cs="Times New Roman"/>
          <w:sz w:val="28"/>
          <w:szCs w:val="28"/>
        </w:rPr>
        <w:lastRenderedPageBreak/>
        <w:t>growing intellectualisation of entrepreneurial activity, the emergence of intellectual entrepreneurship and the need to adapt the training system to new challenges. Particular attention is paid to the management of intangible assets, legal protection, commercialisation and strategic use of the intellectual potential of enterprises.</w:t>
      </w:r>
    </w:p>
    <w:p w14:paraId="3D14D27D" w14:textId="77777777" w:rsidR="00DE6403" w:rsidRDefault="00DE6403">
      <w:pPr>
        <w:widowControl w:val="0"/>
        <w:spacing w:after="0" w:line="240" w:lineRule="auto"/>
        <w:jc w:val="both"/>
        <w:rPr>
          <w:rFonts w:ascii="Times New Roman" w:eastAsia="Times New Roman" w:hAnsi="Times New Roman" w:cs="Times New Roman"/>
          <w:b/>
          <w:bCs/>
          <w:sz w:val="28"/>
          <w:szCs w:val="28"/>
        </w:rPr>
      </w:pPr>
    </w:p>
    <w:p w14:paraId="62DBD907"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subject of the discipline</w:t>
      </w:r>
      <w:r>
        <w:rPr>
          <w:sz w:val="28"/>
          <w:szCs w:val="28"/>
        </w:rPr>
        <w:t xml:space="preserve"> </w:t>
      </w:r>
      <w:r>
        <w:rPr>
          <w:rFonts w:ascii="Times New Roman" w:eastAsia="Times New Roman" w:hAnsi="Times New Roman" w:cs="Times New Roman"/>
          <w:sz w:val="28"/>
          <w:szCs w:val="28"/>
        </w:rPr>
        <w:t>is</w:t>
      </w:r>
      <w:r>
        <w:rPr>
          <w:rFonts w:ascii="Times New Roman" w:eastAsia="Times New Roman" w:hAnsi="Times New Roman" w:cs="Times New Roman"/>
          <w:b/>
          <w:bCs/>
          <w:sz w:val="28"/>
          <w:szCs w:val="28"/>
        </w:rPr>
        <w:t xml:space="preserve"> </w:t>
      </w:r>
      <w:r>
        <w:rPr>
          <w:rFonts w:ascii="Times New Roman" w:eastAsia="Times New Roman" w:hAnsi="Times New Roman" w:cs="Times New Roman"/>
          <w:sz w:val="28"/>
          <w:szCs w:val="28"/>
        </w:rPr>
        <w:t>the system of knowledge about the patterns, principles and mechanisms of intellectual property management in the modern socio-economic environment. Current issues of legal, economic and organisational regulation of intellectual property that are of strategic importance for the development of an innovative economy, entrepreneurship and scientific and technological progress. Particular attention is paid to the functional purpose of the intellectual property management system as a normative and institutional basis for the formation of competitive national intellectual potential.</w:t>
      </w:r>
    </w:p>
    <w:p w14:paraId="2721D6A8" w14:textId="77777777" w:rsidR="00DE6403" w:rsidRDefault="00DE6403">
      <w:pPr>
        <w:widowControl w:val="0"/>
        <w:spacing w:after="0" w:line="240" w:lineRule="auto"/>
        <w:jc w:val="both"/>
        <w:rPr>
          <w:rFonts w:ascii="Times New Roman" w:eastAsia="Times New Roman" w:hAnsi="Times New Roman" w:cs="Times New Roman"/>
          <w:b/>
          <w:bCs/>
          <w:sz w:val="28"/>
          <w:szCs w:val="28"/>
        </w:rPr>
      </w:pPr>
    </w:p>
    <w:p w14:paraId="5834C133"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aim of the discipline</w:t>
      </w:r>
      <w:r>
        <w:rPr>
          <w:sz w:val="28"/>
          <w:szCs w:val="28"/>
        </w:rPr>
        <w:t xml:space="preserve"> </w:t>
      </w:r>
      <w:r>
        <w:rPr>
          <w:rFonts w:ascii="Times New Roman" w:eastAsia="Times New Roman" w:hAnsi="Times New Roman" w:cs="Times New Roman"/>
          <w:sz w:val="28"/>
          <w:szCs w:val="28"/>
        </w:rPr>
        <w:t>is to provide students with a solid theoretical knowledge and practical skills in the field of intellectual property management, as well as to develop their ability to apply modern management approaches for the effective organisation of processes for the protection, commercialisation and enforcement of intellectual property rights.</w:t>
      </w:r>
    </w:p>
    <w:p w14:paraId="7AE49704"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course is aimed at improving the professional competence of students in the strategic use of intellectual assets, motivation for creative activity, the formation of an innovative culture and the implementation of organisational development strategies based on intellectual capital.</w:t>
      </w:r>
    </w:p>
    <w:p w14:paraId="2E827E53" w14:textId="77777777" w:rsidR="00DE6403" w:rsidRDefault="00DE6403">
      <w:pPr>
        <w:widowControl w:val="0"/>
        <w:spacing w:after="0" w:line="240" w:lineRule="auto"/>
        <w:jc w:val="both"/>
        <w:rPr>
          <w:rFonts w:ascii="Times New Roman" w:eastAsia="Times New Roman" w:hAnsi="Times New Roman" w:cs="Times New Roman"/>
          <w:b/>
          <w:bCs/>
          <w:sz w:val="28"/>
          <w:szCs w:val="28"/>
        </w:rPr>
      </w:pPr>
    </w:p>
    <w:p w14:paraId="5F34F205"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rFonts w:ascii="Times New Roman" w:eastAsia="Times New Roman" w:hAnsi="Times New Roman" w:cs="Times New Roman"/>
          <w:sz w:val="28"/>
          <w:szCs w:val="28"/>
        </w:rPr>
        <w:t>:</w:t>
      </w:r>
    </w:p>
    <w:p w14:paraId="0D3588AE"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Provide an understanding of the essence, principles, types and models of intellectual property management in the context of modern organisational activity. </w:t>
      </w:r>
    </w:p>
    <w:p w14:paraId="59C92D09"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Teach students to identify intellectual property objects, analyse their legal status, commercial value and strategic importance for the organisation. </w:t>
      </w:r>
    </w:p>
    <w:p w14:paraId="15D1AA75"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Familiarise students with methods of legal protection, licensing, technology transfer and commercialisation of intellectual assets. </w:t>
      </w:r>
    </w:p>
    <w:p w14:paraId="27850B78"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Demonstrate the integration of intellectual property management into systems of strategic planning, innovative development, risk assessment and corporate governance. </w:t>
      </w:r>
    </w:p>
    <w:p w14:paraId="3615C094"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Promote awareness of ethical standards in the field of intellectual property, develop skills for the responsible use of others' creative results and the protection of one's own. </w:t>
      </w:r>
    </w:p>
    <w:p w14:paraId="7B89BA44" w14:textId="77777777" w:rsidR="00DE6403"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Introduce methods for evaluating the effectiveness of intellectual property management at the individual, team and organisational levels.</w:t>
      </w:r>
    </w:p>
    <w:p w14:paraId="6DBBADFF" w14:textId="77777777" w:rsidR="00DE6403" w:rsidRDefault="00DE6403">
      <w:pPr>
        <w:widowControl w:val="0"/>
        <w:spacing w:after="0" w:line="240" w:lineRule="auto"/>
        <w:jc w:val="both"/>
        <w:rPr>
          <w:rFonts w:ascii="Times New Roman" w:eastAsia="Times New Roman" w:hAnsi="Times New Roman" w:cs="Times New Roman"/>
          <w:b/>
          <w:bCs/>
          <w:sz w:val="28"/>
          <w:szCs w:val="28"/>
        </w:rPr>
      </w:pPr>
    </w:p>
    <w:p w14:paraId="540F1409"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Prerequisites for the discipline.</w:t>
      </w:r>
      <w:r>
        <w:rPr>
          <w:rFonts w:ascii="Times New Roman" w:eastAsia="Times New Roman" w:hAnsi="Times New Roman" w:cs="Times New Roman"/>
          <w:sz w:val="28"/>
          <w:szCs w:val="28"/>
        </w:rPr>
        <w:t xml:space="preserve"> </w:t>
      </w:r>
    </w:p>
    <w:p w14:paraId="6180759C"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study of the course “Management of intellectual property” is based on the knowledge and skills acquired by students in the following courses: “Business planning and start-up creation”, “Fundamentals of business management”, and “Fundamentals </w:t>
      </w:r>
      <w:r>
        <w:rPr>
          <w:rFonts w:ascii="Times New Roman" w:eastAsia="Times New Roman" w:hAnsi="Times New Roman" w:cs="Times New Roman"/>
          <w:sz w:val="28"/>
          <w:szCs w:val="28"/>
        </w:rPr>
        <w:lastRenderedPageBreak/>
        <w:t>of entrepreneurship”.</w:t>
      </w:r>
    </w:p>
    <w:p w14:paraId="182CC16F" w14:textId="77777777" w:rsidR="00DE6403" w:rsidRDefault="00DE6403">
      <w:pPr>
        <w:widowControl w:val="0"/>
        <w:spacing w:after="0" w:line="240" w:lineRule="auto"/>
        <w:jc w:val="both"/>
        <w:rPr>
          <w:rFonts w:ascii="Times New Roman" w:eastAsia="Times New Roman" w:hAnsi="Times New Roman" w:cs="Times New Roman"/>
          <w:sz w:val="28"/>
          <w:szCs w:val="28"/>
        </w:rPr>
      </w:pPr>
    </w:p>
    <w:p w14:paraId="0805780C" w14:textId="77777777" w:rsidR="00DE6403"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Post-requisites for the discipline: </w:t>
      </w:r>
    </w:p>
    <w:p w14:paraId="54DB2B17"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knowledge and skills acquired by students during the study of “Management of intellectual property” contribute to the successful learning of a number of other courses aimed at developing professional competencies, including “Business management” and “Risk management”.</w:t>
      </w:r>
    </w:p>
    <w:p w14:paraId="7710FD2D" w14:textId="77777777" w:rsidR="00DE6403" w:rsidRDefault="00DE6403">
      <w:pPr>
        <w:widowControl w:val="0"/>
        <w:spacing w:after="0" w:line="240" w:lineRule="auto"/>
        <w:jc w:val="both"/>
        <w:rPr>
          <w:rFonts w:ascii="Times New Roman" w:eastAsia="Times New Roman" w:hAnsi="Times New Roman" w:cs="Times New Roman"/>
          <w:sz w:val="28"/>
          <w:szCs w:val="28"/>
        </w:rPr>
      </w:pPr>
    </w:p>
    <w:p w14:paraId="61CD8FCC" w14:textId="77777777" w:rsidR="00DE6403" w:rsidRDefault="00DE6403">
      <w:pPr>
        <w:widowControl w:val="0"/>
        <w:spacing w:after="0" w:line="240" w:lineRule="auto"/>
        <w:jc w:val="both"/>
        <w:rPr>
          <w:rFonts w:ascii="Times New Roman" w:eastAsia="Times New Roman" w:hAnsi="Times New Roman" w:cs="Times New Roman"/>
          <w:b/>
          <w:bCs/>
          <w:sz w:val="28"/>
          <w:szCs w:val="28"/>
        </w:rPr>
      </w:pPr>
    </w:p>
    <w:p w14:paraId="2612670B"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tbl>
      <w:tblPr>
        <w:tblStyle w:val="afa"/>
        <w:tblpPr w:leftFromText="180" w:rightFromText="180" w:vertAnchor="text" w:tblpX="138" w:tblpY="50"/>
        <w:tblW w:w="9612" w:type="dxa"/>
        <w:tblInd w:w="0" w:type="dxa"/>
        <w:tblLayout w:type="fixed"/>
        <w:tblLook w:val="0000" w:firstRow="0" w:lastRow="0" w:firstColumn="0" w:lastColumn="0" w:noHBand="0" w:noVBand="0"/>
      </w:tblPr>
      <w:tblGrid>
        <w:gridCol w:w="2066"/>
        <w:gridCol w:w="7546"/>
      </w:tblGrid>
      <w:tr w:rsidR="00DE6403" w14:paraId="7931C43E" w14:textId="77777777">
        <w:trPr>
          <w:trHeight w:val="90"/>
        </w:trPr>
        <w:tc>
          <w:tcPr>
            <w:tcW w:w="2066" w:type="dxa"/>
            <w:tcBorders>
              <w:top w:val="single" w:sz="4" w:space="0" w:color="000000"/>
              <w:left w:val="single" w:sz="4" w:space="0" w:color="000000"/>
              <w:bottom w:val="single" w:sz="4" w:space="0" w:color="000000"/>
              <w:right w:val="single" w:sz="4" w:space="0" w:color="000000"/>
            </w:tcBorders>
          </w:tcPr>
          <w:p w14:paraId="2B07D3FC"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General competences</w:t>
            </w:r>
          </w:p>
        </w:tc>
        <w:tc>
          <w:tcPr>
            <w:tcW w:w="7546" w:type="dxa"/>
            <w:tcBorders>
              <w:top w:val="single" w:sz="4" w:space="0" w:color="000000"/>
              <w:left w:val="single" w:sz="4" w:space="0" w:color="000000"/>
              <w:bottom w:val="single" w:sz="4" w:space="0" w:color="000000"/>
              <w:right w:val="single" w:sz="4" w:space="0" w:color="000000"/>
            </w:tcBorders>
          </w:tcPr>
          <w:p w14:paraId="665C2CDB"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GC6. Ability to generate new ideas (creativity</w:t>
            </w:r>
            <w:r>
              <w:rPr>
                <w:rFonts w:ascii="Times New Roman" w:eastAsia="Times New Roman" w:hAnsi="Times New Roman" w:cs="Times New Roman"/>
                <w:sz w:val="28"/>
                <w:szCs w:val="28"/>
              </w:rPr>
              <w:t>).</w:t>
            </w:r>
          </w:p>
        </w:tc>
      </w:tr>
      <w:tr w:rsidR="00DE6403" w14:paraId="36C373E4" w14:textId="77777777">
        <w:trPr>
          <w:trHeight w:val="90"/>
        </w:trPr>
        <w:tc>
          <w:tcPr>
            <w:tcW w:w="2066" w:type="dxa"/>
            <w:tcBorders>
              <w:top w:val="single" w:sz="4" w:space="0" w:color="000000"/>
              <w:left w:val="single" w:sz="4" w:space="0" w:color="000000"/>
              <w:bottom w:val="single" w:sz="4" w:space="0" w:color="000000"/>
              <w:right w:val="single" w:sz="4" w:space="0" w:color="000000"/>
            </w:tcBorders>
          </w:tcPr>
          <w:p w14:paraId="054273F1" w14:textId="77777777" w:rsidR="00DE6403"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Special competences</w:t>
            </w:r>
          </w:p>
          <w:p w14:paraId="616689F0" w14:textId="77777777" w:rsidR="00DE6403" w:rsidRDefault="00DE6403">
            <w:pPr>
              <w:widowControl w:val="0"/>
              <w:spacing w:after="0" w:line="240" w:lineRule="auto"/>
              <w:jc w:val="both"/>
              <w:rPr>
                <w:rFonts w:ascii="Times New Roman" w:eastAsia="Times New Roman" w:hAnsi="Times New Roman" w:cs="Times New Roman"/>
                <w:b/>
                <w:bCs/>
                <w:sz w:val="28"/>
                <w:szCs w:val="28"/>
                <w:highlight w:val="yellow"/>
              </w:rPr>
            </w:pPr>
          </w:p>
          <w:p w14:paraId="35C6AE87" w14:textId="77777777" w:rsidR="00DE6403" w:rsidRDefault="00DE6403">
            <w:pPr>
              <w:widowControl w:val="0"/>
              <w:spacing w:after="0" w:line="240" w:lineRule="auto"/>
              <w:jc w:val="both"/>
              <w:rPr>
                <w:rFonts w:ascii="Times New Roman" w:eastAsia="Times New Roman" w:hAnsi="Times New Roman" w:cs="Times New Roman"/>
                <w:b/>
                <w:bCs/>
                <w:sz w:val="28"/>
                <w:szCs w:val="28"/>
                <w:highlight w:val="yellow"/>
              </w:rPr>
            </w:pPr>
          </w:p>
        </w:tc>
        <w:tc>
          <w:tcPr>
            <w:tcW w:w="7546" w:type="dxa"/>
            <w:tcBorders>
              <w:top w:val="single" w:sz="4" w:space="0" w:color="000000"/>
              <w:left w:val="single" w:sz="4" w:space="0" w:color="000000"/>
              <w:bottom w:val="single" w:sz="4" w:space="0" w:color="000000"/>
              <w:right w:val="single" w:sz="4" w:space="0" w:color="000000"/>
            </w:tcBorders>
          </w:tcPr>
          <w:p w14:paraId="222251ED" w14:textId="77777777" w:rsidR="00DE6403"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SC4. Ability to effectively use and develop the resources of the organization and enterprise. </w:t>
            </w:r>
          </w:p>
          <w:p w14:paraId="19ADC59F"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SC5. Ability to create and organize effective communications in the management process</w:t>
            </w:r>
            <w:r>
              <w:rPr>
                <w:rFonts w:ascii="Times New Roman" w:eastAsia="Times New Roman" w:hAnsi="Times New Roman" w:cs="Times New Roman"/>
                <w:sz w:val="28"/>
                <w:szCs w:val="28"/>
              </w:rPr>
              <w:t>.</w:t>
            </w:r>
          </w:p>
          <w:p w14:paraId="3A83140B" w14:textId="77777777" w:rsidR="00DE6403"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SC11. Ability to create and manage start-ups, attract investment capital for the implementation of innovative projects.</w:t>
            </w:r>
          </w:p>
          <w:p w14:paraId="51A4B513"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SC12. Ability to develop and apply methods and technologies for strategic management of the organization and commercialization of innovations under conditions of uncertainty and risk.</w:t>
            </w:r>
          </w:p>
        </w:tc>
      </w:tr>
      <w:tr w:rsidR="00DE6403" w14:paraId="1144328C" w14:textId="77777777">
        <w:trPr>
          <w:trHeight w:val="90"/>
        </w:trPr>
        <w:tc>
          <w:tcPr>
            <w:tcW w:w="2066" w:type="dxa"/>
            <w:tcBorders>
              <w:top w:val="single" w:sz="4" w:space="0" w:color="000000"/>
              <w:left w:val="single" w:sz="4" w:space="0" w:color="000000"/>
              <w:bottom w:val="single" w:sz="4" w:space="0" w:color="000000"/>
              <w:right w:val="single" w:sz="4" w:space="0" w:color="000000"/>
            </w:tcBorders>
          </w:tcPr>
          <w:p w14:paraId="0341D171" w14:textId="77777777" w:rsidR="00DE6403"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Intended learning outcomes</w:t>
            </w:r>
          </w:p>
          <w:p w14:paraId="0F0C86D7" w14:textId="77777777" w:rsidR="00DE6403" w:rsidRDefault="00DE6403">
            <w:pPr>
              <w:widowControl w:val="0"/>
              <w:spacing w:after="0" w:line="240" w:lineRule="auto"/>
              <w:jc w:val="both"/>
              <w:rPr>
                <w:rFonts w:ascii="Times New Roman" w:eastAsia="Times New Roman" w:hAnsi="Times New Roman" w:cs="Times New Roman"/>
                <w:sz w:val="28"/>
                <w:szCs w:val="28"/>
              </w:rPr>
            </w:pPr>
          </w:p>
        </w:tc>
        <w:tc>
          <w:tcPr>
            <w:tcW w:w="7546" w:type="dxa"/>
            <w:tcBorders>
              <w:top w:val="single" w:sz="4" w:space="0" w:color="000000"/>
              <w:left w:val="single" w:sz="4" w:space="0" w:color="000000"/>
              <w:bottom w:val="single" w:sz="4" w:space="0" w:color="000000"/>
              <w:right w:val="single" w:sz="4" w:space="0" w:color="000000"/>
            </w:tcBorders>
          </w:tcPr>
          <w:p w14:paraId="6E9D8EB7"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 6. Have the skills to make, justify and ensure the implementation of management decisions in unpredictable conditions, taking into account the requirements of current legislation, ethical considerations and social responsibility.</w:t>
            </w:r>
          </w:p>
          <w:p w14:paraId="2D79048F" w14:textId="77777777" w:rsidR="00DE6403"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 14. Initiate and implement changes to the management system and business model of the organization in accordance with digital changes in the environment and compliance with intellectual property rights.</w:t>
            </w:r>
          </w:p>
          <w:p w14:paraId="16B0A204"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ILO15. Demonstrate the ability to succeed in making a profit from ideas and intellectual knowledge through innovation, using the potential of the innovation economy, taking into account potential threats and risks.</w:t>
            </w:r>
          </w:p>
        </w:tc>
      </w:tr>
    </w:tbl>
    <w:p w14:paraId="0053D617" w14:textId="77777777" w:rsidR="00DE6403" w:rsidRDefault="00DE6403">
      <w:pPr>
        <w:widowControl w:val="0"/>
        <w:spacing w:after="0" w:line="240" w:lineRule="auto"/>
        <w:jc w:val="both"/>
        <w:rPr>
          <w:rFonts w:ascii="Times New Roman" w:eastAsia="Times New Roman" w:hAnsi="Times New Roman" w:cs="Times New Roman"/>
          <w:sz w:val="28"/>
          <w:szCs w:val="28"/>
        </w:rPr>
      </w:pPr>
    </w:p>
    <w:p w14:paraId="2B48F0CC" w14:textId="77777777" w:rsidR="00DE6403" w:rsidRDefault="00000000">
      <w:pPr>
        <w:widowControl w:val="0"/>
        <w:jc w:val="center"/>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highlight w:val="white"/>
        </w:rPr>
        <w:t>Content of the academic discipline</w:t>
      </w:r>
    </w:p>
    <w:tbl>
      <w:tblPr>
        <w:tblStyle w:val="afb"/>
        <w:tblpPr w:leftFromText="180" w:rightFromText="180" w:vertAnchor="text" w:tblpX="150" w:tblpY="197"/>
        <w:tblW w:w="9598" w:type="dxa"/>
        <w:tblInd w:w="0" w:type="dxa"/>
        <w:tblLayout w:type="fixed"/>
        <w:tblLook w:val="0000" w:firstRow="0" w:lastRow="0" w:firstColumn="0" w:lastColumn="0" w:noHBand="0" w:noVBand="0"/>
      </w:tblPr>
      <w:tblGrid>
        <w:gridCol w:w="905"/>
        <w:gridCol w:w="3915"/>
        <w:gridCol w:w="580"/>
        <w:gridCol w:w="724"/>
        <w:gridCol w:w="868"/>
        <w:gridCol w:w="2606"/>
      </w:tblGrid>
      <w:tr w:rsidR="00DE6403" w14:paraId="5721F86F" w14:textId="77777777">
        <w:trPr>
          <w:trHeight w:val="303"/>
        </w:trPr>
        <w:tc>
          <w:tcPr>
            <w:tcW w:w="905" w:type="dxa"/>
            <w:vMerge w:val="restart"/>
            <w:tcBorders>
              <w:top w:val="single" w:sz="4" w:space="0" w:color="000000"/>
              <w:left w:val="single" w:sz="4" w:space="0" w:color="000000"/>
              <w:bottom w:val="single" w:sz="4" w:space="0" w:color="000000"/>
              <w:right w:val="single" w:sz="4" w:space="0" w:color="000000"/>
            </w:tcBorders>
            <w:vAlign w:val="center"/>
          </w:tcPr>
          <w:p w14:paraId="284A7DAE"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915" w:type="dxa"/>
            <w:vMerge w:val="restart"/>
            <w:tcBorders>
              <w:top w:val="single" w:sz="4" w:space="0" w:color="000000"/>
              <w:left w:val="single" w:sz="4" w:space="0" w:color="000000"/>
              <w:bottom w:val="single" w:sz="4" w:space="0" w:color="000000"/>
              <w:right w:val="single" w:sz="4" w:space="0" w:color="000000"/>
            </w:tcBorders>
            <w:vAlign w:val="center"/>
          </w:tcPr>
          <w:p w14:paraId="4CC44D95"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4778" w:type="dxa"/>
            <w:gridSpan w:val="4"/>
            <w:tcBorders>
              <w:top w:val="single" w:sz="4" w:space="0" w:color="000000"/>
              <w:left w:val="single" w:sz="4" w:space="0" w:color="000000"/>
              <w:bottom w:val="single" w:sz="4" w:space="0" w:color="000000"/>
              <w:right w:val="single" w:sz="4" w:space="0" w:color="000000"/>
            </w:tcBorders>
            <w:vAlign w:val="center"/>
          </w:tcPr>
          <w:p w14:paraId="21E1310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DE6403" w14:paraId="0A60AF2D" w14:textId="77777777">
        <w:trPr>
          <w:trHeight w:val="1371"/>
        </w:trPr>
        <w:tc>
          <w:tcPr>
            <w:tcW w:w="905" w:type="dxa"/>
            <w:vMerge/>
            <w:tcBorders>
              <w:top w:val="single" w:sz="4" w:space="0" w:color="000000"/>
              <w:left w:val="single" w:sz="4" w:space="0" w:color="000000"/>
              <w:bottom w:val="single" w:sz="4" w:space="0" w:color="000000"/>
              <w:right w:val="single" w:sz="4" w:space="0" w:color="000000"/>
            </w:tcBorders>
            <w:vAlign w:val="center"/>
          </w:tcPr>
          <w:p w14:paraId="4D44AAF1"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3915" w:type="dxa"/>
            <w:vMerge/>
            <w:tcBorders>
              <w:top w:val="single" w:sz="4" w:space="0" w:color="000000"/>
              <w:left w:val="single" w:sz="4" w:space="0" w:color="000000"/>
              <w:bottom w:val="single" w:sz="4" w:space="0" w:color="000000"/>
              <w:right w:val="single" w:sz="4" w:space="0" w:color="000000"/>
            </w:tcBorders>
            <w:vAlign w:val="center"/>
          </w:tcPr>
          <w:p w14:paraId="5E5EB99D"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580" w:type="dxa"/>
            <w:tcBorders>
              <w:top w:val="single" w:sz="4" w:space="0" w:color="000000"/>
              <w:left w:val="single" w:sz="4" w:space="0" w:color="000000"/>
              <w:bottom w:val="single" w:sz="4" w:space="0" w:color="000000"/>
              <w:right w:val="single" w:sz="4" w:space="0" w:color="000000"/>
            </w:tcBorders>
            <w:vAlign w:val="center"/>
          </w:tcPr>
          <w:p w14:paraId="7303A29C" w14:textId="77777777" w:rsidR="00DE6403" w:rsidRDefault="00000000">
            <w:pPr>
              <w:widowControl w:val="0"/>
              <w:tabs>
                <w:tab w:val="center" w:pos="4153"/>
                <w:tab w:val="center" w:pos="4677"/>
                <w:tab w:val="right" w:pos="8306"/>
                <w:tab w:val="right" w:pos="9355"/>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Lectures</w:t>
            </w:r>
          </w:p>
        </w:tc>
        <w:tc>
          <w:tcPr>
            <w:tcW w:w="724" w:type="dxa"/>
            <w:tcBorders>
              <w:top w:val="single" w:sz="4" w:space="0" w:color="000000"/>
              <w:left w:val="single" w:sz="4" w:space="0" w:color="000000"/>
              <w:bottom w:val="single" w:sz="4" w:space="0" w:color="000000"/>
            </w:tcBorders>
            <w:vAlign w:val="center"/>
          </w:tcPr>
          <w:p w14:paraId="6D822E0F" w14:textId="77777777" w:rsidR="00DE6403"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Seminars</w:t>
            </w:r>
          </w:p>
        </w:tc>
        <w:tc>
          <w:tcPr>
            <w:tcW w:w="868" w:type="dxa"/>
            <w:tcBorders>
              <w:top w:val="single" w:sz="4" w:space="0" w:color="000000"/>
              <w:left w:val="single" w:sz="4" w:space="0" w:color="000000"/>
              <w:bottom w:val="single" w:sz="4" w:space="0" w:color="000000"/>
            </w:tcBorders>
            <w:vAlign w:val="center"/>
          </w:tcPr>
          <w:p w14:paraId="362DEB2A" w14:textId="77777777" w:rsidR="00DE6403" w:rsidRDefault="00000000">
            <w:pPr>
              <w:widowControl w:val="0"/>
              <w:tabs>
                <w:tab w:val="center" w:pos="4153"/>
                <w:tab w:val="center" w:pos="4677"/>
                <w:tab w:val="right" w:pos="8306"/>
                <w:tab w:val="right" w:pos="9355"/>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Independent work</w:t>
            </w:r>
          </w:p>
        </w:tc>
        <w:tc>
          <w:tcPr>
            <w:tcW w:w="2606" w:type="dxa"/>
            <w:tcBorders>
              <w:top w:val="single" w:sz="4" w:space="0" w:color="000000"/>
              <w:left w:val="single" w:sz="4" w:space="0" w:color="000000"/>
              <w:bottom w:val="single" w:sz="4" w:space="0" w:color="000000"/>
              <w:right w:val="single" w:sz="4" w:space="0" w:color="000000"/>
            </w:tcBorders>
            <w:vAlign w:val="center"/>
          </w:tcPr>
          <w:p w14:paraId="1AA36B86" w14:textId="77777777" w:rsidR="00DE6403" w:rsidRDefault="00000000">
            <w:pPr>
              <w:widowControl w:val="0"/>
              <w:tabs>
                <w:tab w:val="center" w:pos="4153"/>
                <w:tab w:val="center" w:pos="4677"/>
                <w:tab w:val="right" w:pos="8306"/>
                <w:tab w:val="right" w:pos="9355"/>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Teaching methods /assessment methods</w:t>
            </w:r>
          </w:p>
        </w:tc>
      </w:tr>
      <w:tr w:rsidR="00DE6403" w14:paraId="4ECE95B8" w14:textId="77777777">
        <w:trPr>
          <w:trHeight w:val="325"/>
        </w:trPr>
        <w:tc>
          <w:tcPr>
            <w:tcW w:w="6992" w:type="dxa"/>
            <w:gridSpan w:val="5"/>
            <w:tcBorders>
              <w:top w:val="single" w:sz="4" w:space="0" w:color="000000"/>
              <w:left w:val="single" w:sz="4" w:space="0" w:color="000000"/>
              <w:bottom w:val="single" w:sz="4" w:space="0" w:color="000000"/>
            </w:tcBorders>
          </w:tcPr>
          <w:p w14:paraId="3A2D0D5E"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w:t>
            </w:r>
            <w:r>
              <w:rPr>
                <w:rFonts w:ascii="Times New Roman" w:eastAsia="Times New Roman" w:hAnsi="Times New Roman" w:cs="Times New Roman"/>
                <w:b/>
                <w:bCs/>
                <w:sz w:val="28"/>
                <w:szCs w:val="28"/>
                <w:vertAlign w:val="superscript"/>
              </w:rPr>
              <w:t>st</w:t>
            </w:r>
            <w:r>
              <w:rPr>
                <w:rFonts w:ascii="Times New Roman" w:eastAsia="Times New Roman" w:hAnsi="Times New Roman" w:cs="Times New Roman"/>
                <w:b/>
                <w:bCs/>
                <w:sz w:val="28"/>
                <w:szCs w:val="28"/>
              </w:rPr>
              <w:t xml:space="preserve"> semester</w:t>
            </w:r>
          </w:p>
          <w:p w14:paraId="6D669594"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Content module 1. </w:t>
            </w:r>
            <w:r>
              <w:rPr>
                <w:rFonts w:ascii="Times New Roman" w:eastAsia="Times New Roman" w:hAnsi="Times New Roman" w:cs="Times New Roman"/>
                <w:sz w:val="28"/>
                <w:szCs w:val="28"/>
              </w:rPr>
              <w:t xml:space="preserve">   </w:t>
            </w:r>
          </w:p>
          <w:p w14:paraId="13854515"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The economic nature of intellectual property</w:t>
            </w:r>
          </w:p>
        </w:tc>
        <w:tc>
          <w:tcPr>
            <w:tcW w:w="2606" w:type="dxa"/>
            <w:vMerge w:val="restart"/>
            <w:tcBorders>
              <w:top w:val="single" w:sz="4" w:space="0" w:color="000000"/>
              <w:left w:val="single" w:sz="4" w:space="0" w:color="000000"/>
              <w:bottom w:val="single" w:sz="4" w:space="0" w:color="000000"/>
              <w:right w:val="single" w:sz="4" w:space="0" w:color="000000"/>
            </w:tcBorders>
          </w:tcPr>
          <w:p w14:paraId="7AB7E2E9" w14:textId="77777777" w:rsidR="00DE6403" w:rsidRDefault="00000000">
            <w:pPr>
              <w:widowControl w:val="0"/>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 xml:space="preserve">verbal (lectures, discussions, educational </w:t>
            </w:r>
            <w:r>
              <w:rPr>
                <w:rFonts w:ascii="Times New Roman" w:eastAsia="Times New Roman" w:hAnsi="Times New Roman" w:cs="Times New Roman"/>
                <w:sz w:val="24"/>
                <w:szCs w:val="24"/>
              </w:rPr>
              <w:lastRenderedPageBreak/>
              <w:t>debates); inductive method; deductive method; analytical; synthetic; reproductive; problem-based method; research; interactive methods (situation analysis; discussions, debates, polemics; dialogue, synthesis of opinions; brainstorming; skills practice; situational modelling, discussion questions); modelling professional activity; innovative teaching methods (competence-based; project-based research); case method.</w:t>
            </w:r>
          </w:p>
          <w:p w14:paraId="7B88EBE4" w14:textId="77777777" w:rsidR="00DE6403"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oral assessment (oral questioning, assessment of participation in discussions and other interactive teaching methods); written assessment (tests, independent work</w:t>
            </w:r>
            <w:proofErr w:type="gramStart"/>
            <w:r>
              <w:rPr>
                <w:rFonts w:ascii="Times New Roman" w:eastAsia="Times New Roman" w:hAnsi="Times New Roman" w:cs="Times New Roman"/>
                <w:sz w:val="24"/>
                <w:szCs w:val="24"/>
              </w:rPr>
              <w:t>);  test</w:t>
            </w:r>
            <w:proofErr w:type="gramEnd"/>
            <w:r>
              <w:rPr>
                <w:rFonts w:ascii="Times New Roman" w:eastAsia="Times New Roman" w:hAnsi="Times New Roman" w:cs="Times New Roman"/>
                <w:sz w:val="24"/>
                <w:szCs w:val="24"/>
              </w:rPr>
              <w:t xml:space="preserve"> assessment (closed-form tests: self-assessment and self-evaluation method; assessment of case studies.</w:t>
            </w:r>
          </w:p>
        </w:tc>
      </w:tr>
      <w:tr w:rsidR="00DE6403" w14:paraId="121C1860" w14:textId="77777777">
        <w:trPr>
          <w:trHeight w:val="592"/>
        </w:trPr>
        <w:tc>
          <w:tcPr>
            <w:tcW w:w="905" w:type="dxa"/>
            <w:tcBorders>
              <w:top w:val="single" w:sz="4" w:space="0" w:color="000000"/>
              <w:left w:val="single" w:sz="4" w:space="0" w:color="000000"/>
              <w:bottom w:val="single" w:sz="4" w:space="0" w:color="000000"/>
              <w:right w:val="single" w:sz="4" w:space="0" w:color="000000"/>
            </w:tcBorders>
          </w:tcPr>
          <w:p w14:paraId="6652927A"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Topic 1.</w:t>
            </w:r>
          </w:p>
        </w:tc>
        <w:tc>
          <w:tcPr>
            <w:tcW w:w="3915" w:type="dxa"/>
            <w:tcBorders>
              <w:top w:val="single" w:sz="4" w:space="0" w:color="000000"/>
              <w:left w:val="single" w:sz="4" w:space="0" w:color="000000"/>
              <w:bottom w:val="single" w:sz="4" w:space="0" w:color="000000"/>
              <w:right w:val="single" w:sz="4" w:space="0" w:color="000000"/>
            </w:tcBorders>
          </w:tcPr>
          <w:p w14:paraId="08CA3BF9"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Economic essence and functions of intellectual property</w:t>
            </w:r>
          </w:p>
        </w:tc>
        <w:tc>
          <w:tcPr>
            <w:tcW w:w="580" w:type="dxa"/>
            <w:tcBorders>
              <w:top w:val="single" w:sz="4" w:space="0" w:color="000000"/>
              <w:left w:val="single" w:sz="4" w:space="0" w:color="000000"/>
              <w:bottom w:val="single" w:sz="4" w:space="0" w:color="000000"/>
              <w:right w:val="single" w:sz="4" w:space="0" w:color="000000"/>
            </w:tcBorders>
          </w:tcPr>
          <w:p w14:paraId="516B774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22CBC4F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7E513B2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c>
          <w:tcPr>
            <w:tcW w:w="2606" w:type="dxa"/>
            <w:vMerge/>
            <w:tcBorders>
              <w:top w:val="single" w:sz="4" w:space="0" w:color="000000"/>
              <w:left w:val="single" w:sz="4" w:space="0" w:color="000000"/>
              <w:bottom w:val="single" w:sz="4" w:space="0" w:color="000000"/>
              <w:right w:val="single" w:sz="4" w:space="0" w:color="000000"/>
            </w:tcBorders>
          </w:tcPr>
          <w:p w14:paraId="0D585E08"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3921ED08"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5ADFC894"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915" w:type="dxa"/>
            <w:tcBorders>
              <w:top w:val="single" w:sz="4" w:space="0" w:color="000000"/>
              <w:left w:val="single" w:sz="4" w:space="0" w:color="000000"/>
              <w:bottom w:val="single" w:sz="4" w:space="0" w:color="000000"/>
              <w:right w:val="single" w:sz="4" w:space="0" w:color="000000"/>
            </w:tcBorders>
          </w:tcPr>
          <w:p w14:paraId="561ECE53"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Intellectual capital and intangible assets of an enterprise</w:t>
            </w:r>
          </w:p>
        </w:tc>
        <w:tc>
          <w:tcPr>
            <w:tcW w:w="580" w:type="dxa"/>
            <w:tcBorders>
              <w:top w:val="single" w:sz="4" w:space="0" w:color="000000"/>
              <w:left w:val="single" w:sz="4" w:space="0" w:color="000000"/>
              <w:bottom w:val="single" w:sz="4" w:space="0" w:color="000000"/>
              <w:right w:val="single" w:sz="4" w:space="0" w:color="000000"/>
            </w:tcBorders>
          </w:tcPr>
          <w:p w14:paraId="76DE29F4"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43FC73B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46F134D6"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606" w:type="dxa"/>
            <w:vMerge/>
            <w:tcBorders>
              <w:top w:val="single" w:sz="4" w:space="0" w:color="000000"/>
              <w:left w:val="single" w:sz="4" w:space="0" w:color="000000"/>
              <w:bottom w:val="single" w:sz="4" w:space="0" w:color="000000"/>
              <w:right w:val="single" w:sz="4" w:space="0" w:color="000000"/>
            </w:tcBorders>
          </w:tcPr>
          <w:p w14:paraId="2E84D667"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1D89B8D0"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658F2DE9"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915" w:type="dxa"/>
            <w:tcBorders>
              <w:top w:val="single" w:sz="4" w:space="0" w:color="000000"/>
              <w:left w:val="single" w:sz="4" w:space="0" w:color="000000"/>
              <w:bottom w:val="single" w:sz="4" w:space="0" w:color="000000"/>
              <w:right w:val="single" w:sz="4" w:space="0" w:color="000000"/>
            </w:tcBorders>
          </w:tcPr>
          <w:p w14:paraId="40E133F6"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Mechanisms for determining the value of intellectual property rights</w:t>
            </w:r>
          </w:p>
        </w:tc>
        <w:tc>
          <w:tcPr>
            <w:tcW w:w="580" w:type="dxa"/>
            <w:tcBorders>
              <w:top w:val="single" w:sz="4" w:space="0" w:color="000000"/>
              <w:left w:val="single" w:sz="4" w:space="0" w:color="000000"/>
              <w:bottom w:val="single" w:sz="4" w:space="0" w:color="000000"/>
              <w:right w:val="single" w:sz="4" w:space="0" w:color="000000"/>
            </w:tcBorders>
          </w:tcPr>
          <w:p w14:paraId="1A9348E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1F61566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743DABD9"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c>
          <w:tcPr>
            <w:tcW w:w="2606" w:type="dxa"/>
            <w:vMerge/>
            <w:tcBorders>
              <w:top w:val="single" w:sz="4" w:space="0" w:color="000000"/>
              <w:left w:val="single" w:sz="4" w:space="0" w:color="000000"/>
              <w:bottom w:val="single" w:sz="4" w:space="0" w:color="000000"/>
              <w:right w:val="single" w:sz="4" w:space="0" w:color="000000"/>
            </w:tcBorders>
          </w:tcPr>
          <w:p w14:paraId="7CF6A7A1"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15400976"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4783B7A3"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915" w:type="dxa"/>
            <w:tcBorders>
              <w:top w:val="single" w:sz="4" w:space="0" w:color="000000"/>
              <w:left w:val="single" w:sz="4" w:space="0" w:color="000000"/>
              <w:bottom w:val="single" w:sz="4" w:space="0" w:color="000000"/>
              <w:right w:val="single" w:sz="4" w:space="0" w:color="000000"/>
            </w:tcBorders>
          </w:tcPr>
          <w:p w14:paraId="2328CB46"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Intellectual property as a factor in the competitiveness of an enterprise</w:t>
            </w:r>
          </w:p>
        </w:tc>
        <w:tc>
          <w:tcPr>
            <w:tcW w:w="580" w:type="dxa"/>
            <w:tcBorders>
              <w:top w:val="single" w:sz="4" w:space="0" w:color="000000"/>
              <w:left w:val="single" w:sz="4" w:space="0" w:color="000000"/>
              <w:bottom w:val="single" w:sz="4" w:space="0" w:color="000000"/>
              <w:right w:val="single" w:sz="4" w:space="0" w:color="000000"/>
            </w:tcBorders>
          </w:tcPr>
          <w:p w14:paraId="6F0AF4D9"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1260206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0CC87ED1"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606" w:type="dxa"/>
            <w:vMerge/>
            <w:tcBorders>
              <w:top w:val="single" w:sz="4" w:space="0" w:color="000000"/>
              <w:left w:val="single" w:sz="4" w:space="0" w:color="000000"/>
              <w:bottom w:val="single" w:sz="4" w:space="0" w:color="000000"/>
              <w:right w:val="single" w:sz="4" w:space="0" w:color="000000"/>
            </w:tcBorders>
          </w:tcPr>
          <w:p w14:paraId="02B5D885"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2FF0EB40"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54B7AE9D"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915" w:type="dxa"/>
            <w:tcBorders>
              <w:top w:val="single" w:sz="4" w:space="0" w:color="000000"/>
              <w:left w:val="single" w:sz="4" w:space="0" w:color="000000"/>
              <w:bottom w:val="single" w:sz="4" w:space="0" w:color="000000"/>
              <w:right w:val="single" w:sz="4" w:space="0" w:color="000000"/>
            </w:tcBorders>
          </w:tcPr>
          <w:p w14:paraId="25B2971A"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State and international regulation of intellectual property</w:t>
            </w:r>
          </w:p>
        </w:tc>
        <w:tc>
          <w:tcPr>
            <w:tcW w:w="580" w:type="dxa"/>
            <w:tcBorders>
              <w:top w:val="single" w:sz="4" w:space="0" w:color="000000"/>
              <w:left w:val="single" w:sz="4" w:space="0" w:color="000000"/>
              <w:bottom w:val="single" w:sz="4" w:space="0" w:color="000000"/>
              <w:right w:val="single" w:sz="4" w:space="0" w:color="000000"/>
            </w:tcBorders>
          </w:tcPr>
          <w:p w14:paraId="4F5B80A9"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0463A06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7D0E1E94"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606" w:type="dxa"/>
            <w:vMerge/>
            <w:tcBorders>
              <w:top w:val="single" w:sz="4" w:space="0" w:color="000000"/>
              <w:left w:val="single" w:sz="4" w:space="0" w:color="000000"/>
              <w:bottom w:val="single" w:sz="4" w:space="0" w:color="000000"/>
              <w:right w:val="single" w:sz="4" w:space="0" w:color="000000"/>
            </w:tcBorders>
          </w:tcPr>
          <w:p w14:paraId="21B821AF"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3637F919" w14:textId="77777777">
        <w:trPr>
          <w:trHeight w:val="325"/>
        </w:trPr>
        <w:tc>
          <w:tcPr>
            <w:tcW w:w="6992" w:type="dxa"/>
            <w:gridSpan w:val="5"/>
            <w:tcBorders>
              <w:top w:val="single" w:sz="4" w:space="0" w:color="000000"/>
              <w:left w:val="single" w:sz="4" w:space="0" w:color="000000"/>
              <w:bottom w:val="single" w:sz="4" w:space="0" w:color="000000"/>
            </w:tcBorders>
          </w:tcPr>
          <w:p w14:paraId="487DC453"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Content module 2. </w:t>
            </w:r>
            <w:r>
              <w:rPr>
                <w:rFonts w:ascii="Times New Roman" w:eastAsia="Times New Roman" w:hAnsi="Times New Roman" w:cs="Times New Roman"/>
                <w:sz w:val="28"/>
                <w:szCs w:val="28"/>
              </w:rPr>
              <w:t xml:space="preserve">  Rights to intellectual property. Commercialisation of intellectual property</w:t>
            </w:r>
          </w:p>
        </w:tc>
        <w:tc>
          <w:tcPr>
            <w:tcW w:w="2606" w:type="dxa"/>
            <w:vMerge/>
            <w:tcBorders>
              <w:top w:val="single" w:sz="4" w:space="0" w:color="000000"/>
              <w:left w:val="single" w:sz="4" w:space="0" w:color="000000"/>
              <w:bottom w:val="single" w:sz="4" w:space="0" w:color="000000"/>
              <w:right w:val="single" w:sz="4" w:space="0" w:color="000000"/>
            </w:tcBorders>
          </w:tcPr>
          <w:p w14:paraId="1BE18856"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DE6403" w14:paraId="6A8E1123"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1C5C1438"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915" w:type="dxa"/>
            <w:tcBorders>
              <w:top w:val="single" w:sz="4" w:space="0" w:color="000000"/>
              <w:left w:val="single" w:sz="4" w:space="0" w:color="000000"/>
              <w:bottom w:val="single" w:sz="4" w:space="0" w:color="000000"/>
              <w:right w:val="single" w:sz="4" w:space="0" w:color="000000"/>
            </w:tcBorders>
          </w:tcPr>
          <w:p w14:paraId="13805D8C"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Classification and legal regime of intellectual property</w:t>
            </w:r>
          </w:p>
        </w:tc>
        <w:tc>
          <w:tcPr>
            <w:tcW w:w="580" w:type="dxa"/>
            <w:tcBorders>
              <w:top w:val="single" w:sz="4" w:space="0" w:color="000000"/>
              <w:left w:val="single" w:sz="4" w:space="0" w:color="000000"/>
              <w:bottom w:val="single" w:sz="4" w:space="0" w:color="000000"/>
              <w:right w:val="single" w:sz="4" w:space="0" w:color="000000"/>
            </w:tcBorders>
          </w:tcPr>
          <w:p w14:paraId="3E9175F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6D68323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515C4B5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606" w:type="dxa"/>
            <w:vMerge/>
            <w:tcBorders>
              <w:top w:val="single" w:sz="4" w:space="0" w:color="000000"/>
              <w:left w:val="single" w:sz="4" w:space="0" w:color="000000"/>
              <w:bottom w:val="single" w:sz="4" w:space="0" w:color="000000"/>
              <w:right w:val="single" w:sz="4" w:space="0" w:color="000000"/>
            </w:tcBorders>
          </w:tcPr>
          <w:p w14:paraId="5CC41CB4"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0D7EA2BE" w14:textId="77777777">
        <w:trPr>
          <w:trHeight w:val="325"/>
        </w:trPr>
        <w:tc>
          <w:tcPr>
            <w:tcW w:w="905" w:type="dxa"/>
            <w:tcBorders>
              <w:top w:val="single" w:sz="4" w:space="0" w:color="000000"/>
              <w:left w:val="single" w:sz="4" w:space="0" w:color="000000"/>
              <w:bottom w:val="single" w:sz="4" w:space="0" w:color="000000"/>
              <w:right w:val="single" w:sz="4" w:space="0" w:color="000000"/>
            </w:tcBorders>
          </w:tcPr>
          <w:p w14:paraId="67344D32"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7. </w:t>
            </w:r>
          </w:p>
        </w:tc>
        <w:tc>
          <w:tcPr>
            <w:tcW w:w="3915" w:type="dxa"/>
            <w:tcBorders>
              <w:top w:val="single" w:sz="4" w:space="0" w:color="000000"/>
              <w:left w:val="single" w:sz="4" w:space="0" w:color="000000"/>
              <w:bottom w:val="single" w:sz="4" w:space="0" w:color="000000"/>
              <w:right w:val="single" w:sz="4" w:space="0" w:color="000000"/>
            </w:tcBorders>
          </w:tcPr>
          <w:p w14:paraId="5C825D11"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Management of an enterprise's intellectual property rights portfolio</w:t>
            </w:r>
          </w:p>
        </w:tc>
        <w:tc>
          <w:tcPr>
            <w:tcW w:w="580" w:type="dxa"/>
            <w:tcBorders>
              <w:top w:val="single" w:sz="4" w:space="0" w:color="000000"/>
              <w:left w:val="single" w:sz="4" w:space="0" w:color="000000"/>
              <w:bottom w:val="single" w:sz="4" w:space="0" w:color="000000"/>
              <w:right w:val="single" w:sz="4" w:space="0" w:color="000000"/>
            </w:tcBorders>
          </w:tcPr>
          <w:p w14:paraId="10393038"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7CFB7C0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56D30944"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606" w:type="dxa"/>
            <w:vMerge/>
            <w:tcBorders>
              <w:top w:val="single" w:sz="4" w:space="0" w:color="000000"/>
              <w:left w:val="single" w:sz="4" w:space="0" w:color="000000"/>
              <w:bottom w:val="single" w:sz="4" w:space="0" w:color="000000"/>
              <w:right w:val="single" w:sz="4" w:space="0" w:color="000000"/>
            </w:tcBorders>
          </w:tcPr>
          <w:p w14:paraId="791749FF"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3249A5F4" w14:textId="77777777">
        <w:trPr>
          <w:trHeight w:val="335"/>
        </w:trPr>
        <w:tc>
          <w:tcPr>
            <w:tcW w:w="905" w:type="dxa"/>
            <w:tcBorders>
              <w:top w:val="single" w:sz="4" w:space="0" w:color="000000"/>
              <w:left w:val="single" w:sz="4" w:space="0" w:color="000000"/>
              <w:bottom w:val="single" w:sz="4" w:space="0" w:color="000000"/>
              <w:right w:val="single" w:sz="4" w:space="0" w:color="000000"/>
            </w:tcBorders>
          </w:tcPr>
          <w:p w14:paraId="4E36041A"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915" w:type="dxa"/>
            <w:tcBorders>
              <w:top w:val="single" w:sz="4" w:space="0" w:color="000000"/>
              <w:left w:val="single" w:sz="4" w:space="0" w:color="000000"/>
              <w:bottom w:val="single" w:sz="4" w:space="0" w:color="000000"/>
              <w:right w:val="single" w:sz="4" w:space="0" w:color="000000"/>
            </w:tcBorders>
          </w:tcPr>
          <w:p w14:paraId="09483250"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Models and mechanisms for commercialising intellectual property</w:t>
            </w:r>
          </w:p>
        </w:tc>
        <w:tc>
          <w:tcPr>
            <w:tcW w:w="580" w:type="dxa"/>
            <w:tcBorders>
              <w:top w:val="single" w:sz="4" w:space="0" w:color="000000"/>
              <w:left w:val="single" w:sz="4" w:space="0" w:color="000000"/>
              <w:bottom w:val="single" w:sz="4" w:space="0" w:color="000000"/>
              <w:right w:val="single" w:sz="4" w:space="0" w:color="000000"/>
            </w:tcBorders>
          </w:tcPr>
          <w:p w14:paraId="31BEEAE0"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0445559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72F2316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606" w:type="dxa"/>
            <w:vMerge/>
            <w:tcBorders>
              <w:top w:val="single" w:sz="4" w:space="0" w:color="000000"/>
              <w:left w:val="single" w:sz="4" w:space="0" w:color="000000"/>
              <w:bottom w:val="single" w:sz="4" w:space="0" w:color="000000"/>
              <w:right w:val="single" w:sz="4" w:space="0" w:color="000000"/>
            </w:tcBorders>
          </w:tcPr>
          <w:p w14:paraId="505D9C7F"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0761204F" w14:textId="77777777">
        <w:trPr>
          <w:trHeight w:val="335"/>
        </w:trPr>
        <w:tc>
          <w:tcPr>
            <w:tcW w:w="905" w:type="dxa"/>
            <w:tcBorders>
              <w:top w:val="single" w:sz="4" w:space="0" w:color="000000"/>
              <w:left w:val="single" w:sz="4" w:space="0" w:color="000000"/>
              <w:bottom w:val="single" w:sz="4" w:space="0" w:color="000000"/>
              <w:right w:val="single" w:sz="4" w:space="0" w:color="000000"/>
            </w:tcBorders>
          </w:tcPr>
          <w:p w14:paraId="4E70581B"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915" w:type="dxa"/>
            <w:tcBorders>
              <w:top w:val="single" w:sz="4" w:space="0" w:color="000000"/>
              <w:left w:val="single" w:sz="4" w:space="0" w:color="000000"/>
              <w:bottom w:val="single" w:sz="4" w:space="0" w:color="000000"/>
              <w:right w:val="single" w:sz="4" w:space="0" w:color="000000"/>
            </w:tcBorders>
          </w:tcPr>
          <w:p w14:paraId="46F0F52D"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Licensing policy and technology transfer</w:t>
            </w:r>
          </w:p>
        </w:tc>
        <w:tc>
          <w:tcPr>
            <w:tcW w:w="580" w:type="dxa"/>
            <w:tcBorders>
              <w:top w:val="single" w:sz="4" w:space="0" w:color="000000"/>
              <w:left w:val="single" w:sz="4" w:space="0" w:color="000000"/>
              <w:bottom w:val="single" w:sz="4" w:space="0" w:color="000000"/>
              <w:right w:val="single" w:sz="4" w:space="0" w:color="000000"/>
            </w:tcBorders>
          </w:tcPr>
          <w:p w14:paraId="24FA925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3BCE03E1"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69779F82"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606" w:type="dxa"/>
            <w:vMerge/>
            <w:tcBorders>
              <w:top w:val="single" w:sz="4" w:space="0" w:color="000000"/>
              <w:left w:val="single" w:sz="4" w:space="0" w:color="000000"/>
              <w:bottom w:val="single" w:sz="4" w:space="0" w:color="000000"/>
              <w:right w:val="single" w:sz="4" w:space="0" w:color="000000"/>
            </w:tcBorders>
          </w:tcPr>
          <w:p w14:paraId="2D2F3716"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6B682FB1" w14:textId="77777777">
        <w:trPr>
          <w:trHeight w:val="335"/>
        </w:trPr>
        <w:tc>
          <w:tcPr>
            <w:tcW w:w="905" w:type="dxa"/>
            <w:tcBorders>
              <w:top w:val="single" w:sz="4" w:space="0" w:color="000000"/>
              <w:left w:val="single" w:sz="4" w:space="0" w:color="000000"/>
              <w:bottom w:val="single" w:sz="4" w:space="0" w:color="000000"/>
              <w:right w:val="single" w:sz="4" w:space="0" w:color="000000"/>
            </w:tcBorders>
          </w:tcPr>
          <w:p w14:paraId="34213DF5"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915" w:type="dxa"/>
            <w:tcBorders>
              <w:top w:val="single" w:sz="4" w:space="0" w:color="000000"/>
              <w:left w:val="single" w:sz="4" w:space="0" w:color="000000"/>
              <w:bottom w:val="single" w:sz="4" w:space="0" w:color="000000"/>
              <w:right w:val="single" w:sz="4" w:space="0" w:color="000000"/>
            </w:tcBorders>
          </w:tcPr>
          <w:p w14:paraId="7A52AFE0"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Assessment of the economic effectiveness of IP commercialisation</w:t>
            </w:r>
          </w:p>
        </w:tc>
        <w:tc>
          <w:tcPr>
            <w:tcW w:w="580" w:type="dxa"/>
            <w:tcBorders>
              <w:top w:val="single" w:sz="4" w:space="0" w:color="000000"/>
              <w:left w:val="single" w:sz="4" w:space="0" w:color="000000"/>
              <w:bottom w:val="single" w:sz="4" w:space="0" w:color="000000"/>
              <w:right w:val="single" w:sz="4" w:space="0" w:color="000000"/>
            </w:tcBorders>
          </w:tcPr>
          <w:p w14:paraId="5132165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24" w:type="dxa"/>
            <w:tcBorders>
              <w:top w:val="single" w:sz="4" w:space="0" w:color="000000"/>
              <w:left w:val="single" w:sz="4" w:space="0" w:color="000000"/>
              <w:bottom w:val="single" w:sz="4" w:space="0" w:color="000000"/>
            </w:tcBorders>
          </w:tcPr>
          <w:p w14:paraId="098FEC1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68" w:type="dxa"/>
            <w:tcBorders>
              <w:top w:val="single" w:sz="4" w:space="0" w:color="000000"/>
              <w:left w:val="single" w:sz="4" w:space="0" w:color="000000"/>
              <w:bottom w:val="single" w:sz="4" w:space="0" w:color="000000"/>
            </w:tcBorders>
          </w:tcPr>
          <w:p w14:paraId="7160D1B8"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p>
        </w:tc>
        <w:tc>
          <w:tcPr>
            <w:tcW w:w="2606" w:type="dxa"/>
            <w:vMerge/>
            <w:tcBorders>
              <w:top w:val="single" w:sz="4" w:space="0" w:color="000000"/>
              <w:left w:val="single" w:sz="4" w:space="0" w:color="000000"/>
              <w:bottom w:val="single" w:sz="4" w:space="0" w:color="000000"/>
              <w:right w:val="single" w:sz="4" w:space="0" w:color="000000"/>
            </w:tcBorders>
          </w:tcPr>
          <w:p w14:paraId="2A5A75DC"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259AEA4D" w14:textId="77777777">
        <w:trPr>
          <w:trHeight w:val="335"/>
        </w:trPr>
        <w:tc>
          <w:tcPr>
            <w:tcW w:w="9598" w:type="dxa"/>
            <w:gridSpan w:val="6"/>
            <w:tcBorders>
              <w:top w:val="single" w:sz="4" w:space="0" w:color="000000"/>
              <w:left w:val="single" w:sz="4" w:space="0" w:color="000000"/>
              <w:bottom w:val="single" w:sz="4" w:space="0" w:color="000000"/>
              <w:right w:val="single" w:sz="4" w:space="0" w:color="000000"/>
            </w:tcBorders>
          </w:tcPr>
          <w:p w14:paraId="16FA910A"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Modular test </w:t>
            </w:r>
          </w:p>
        </w:tc>
      </w:tr>
      <w:tr w:rsidR="00DE6403" w14:paraId="4F9BBFFC" w14:textId="77777777">
        <w:trPr>
          <w:trHeight w:val="335"/>
        </w:trPr>
        <w:tc>
          <w:tcPr>
            <w:tcW w:w="4820" w:type="dxa"/>
            <w:gridSpan w:val="2"/>
            <w:tcBorders>
              <w:top w:val="single" w:sz="4" w:space="0" w:color="000000"/>
              <w:left w:val="single" w:sz="4" w:space="0" w:color="000000"/>
              <w:bottom w:val="single" w:sz="4" w:space="0" w:color="000000"/>
              <w:right w:val="single" w:sz="4" w:space="0" w:color="000000"/>
            </w:tcBorders>
          </w:tcPr>
          <w:p w14:paraId="431B5241"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580" w:type="dxa"/>
            <w:tcBorders>
              <w:top w:val="single" w:sz="4" w:space="0" w:color="000000"/>
              <w:left w:val="single" w:sz="4" w:space="0" w:color="000000"/>
              <w:bottom w:val="single" w:sz="4" w:space="0" w:color="000000"/>
              <w:right w:val="single" w:sz="4" w:space="0" w:color="000000"/>
            </w:tcBorders>
          </w:tcPr>
          <w:p w14:paraId="0A2F6FF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20</w:t>
            </w:r>
          </w:p>
        </w:tc>
        <w:tc>
          <w:tcPr>
            <w:tcW w:w="724" w:type="dxa"/>
            <w:tcBorders>
              <w:top w:val="single" w:sz="4" w:space="0" w:color="000000"/>
              <w:left w:val="single" w:sz="4" w:space="0" w:color="000000"/>
              <w:bottom w:val="single" w:sz="4" w:space="0" w:color="000000"/>
            </w:tcBorders>
          </w:tcPr>
          <w:p w14:paraId="58E817B9"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20</w:t>
            </w:r>
          </w:p>
        </w:tc>
        <w:tc>
          <w:tcPr>
            <w:tcW w:w="868" w:type="dxa"/>
            <w:tcBorders>
              <w:top w:val="single" w:sz="4" w:space="0" w:color="000000"/>
              <w:left w:val="single" w:sz="4" w:space="0" w:color="000000"/>
              <w:bottom w:val="single" w:sz="4" w:space="0" w:color="000000"/>
            </w:tcBorders>
          </w:tcPr>
          <w:p w14:paraId="5AE2F3B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80</w:t>
            </w:r>
          </w:p>
        </w:tc>
        <w:tc>
          <w:tcPr>
            <w:tcW w:w="2606" w:type="dxa"/>
            <w:tcBorders>
              <w:top w:val="single" w:sz="4" w:space="0" w:color="000000"/>
              <w:left w:val="single" w:sz="4" w:space="0" w:color="000000"/>
              <w:bottom w:val="single" w:sz="4" w:space="0" w:color="000000"/>
              <w:right w:val="single" w:sz="4" w:space="0" w:color="000000"/>
            </w:tcBorders>
          </w:tcPr>
          <w:p w14:paraId="4FAD8A34" w14:textId="77777777" w:rsidR="00DE6403" w:rsidRDefault="00DE6403">
            <w:pPr>
              <w:widowControl w:val="0"/>
              <w:spacing w:after="0" w:line="240" w:lineRule="auto"/>
              <w:jc w:val="center"/>
              <w:rPr>
                <w:rFonts w:ascii="Times New Roman" w:eastAsia="Times New Roman" w:hAnsi="Times New Roman" w:cs="Times New Roman"/>
                <w:b/>
                <w:bCs/>
                <w:sz w:val="28"/>
                <w:szCs w:val="28"/>
              </w:rPr>
            </w:pPr>
          </w:p>
        </w:tc>
      </w:tr>
      <w:tr w:rsidR="00DE6403" w14:paraId="009F6A8B" w14:textId="77777777">
        <w:trPr>
          <w:trHeight w:val="335"/>
        </w:trPr>
        <w:tc>
          <w:tcPr>
            <w:tcW w:w="9598" w:type="dxa"/>
            <w:gridSpan w:val="6"/>
            <w:tcBorders>
              <w:left w:val="single" w:sz="4" w:space="0" w:color="000000"/>
              <w:bottom w:val="single" w:sz="4" w:space="0" w:color="000000"/>
              <w:right w:val="single" w:sz="4" w:space="0" w:color="000000"/>
            </w:tcBorders>
          </w:tcPr>
          <w:p w14:paraId="2521113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Final assessment: exam</w:t>
            </w:r>
          </w:p>
        </w:tc>
      </w:tr>
    </w:tbl>
    <w:p w14:paraId="7EC70300" w14:textId="77777777" w:rsidR="00DE6403" w:rsidRDefault="00DE6403">
      <w:pPr>
        <w:widowControl w:val="0"/>
        <w:pBdr>
          <w:top w:val="nil"/>
          <w:left w:val="nil"/>
          <w:bottom w:val="nil"/>
          <w:right w:val="nil"/>
          <w:between w:val="nil"/>
        </w:pBdr>
        <w:spacing w:after="0" w:line="240" w:lineRule="auto"/>
        <w:jc w:val="both"/>
        <w:rPr>
          <w:rFonts w:ascii="Times New Roman" w:eastAsia="Times New Roman" w:hAnsi="Times New Roman" w:cs="Times New Roman"/>
          <w:b/>
          <w:bCs/>
          <w:color w:val="000000"/>
          <w:sz w:val="28"/>
          <w:szCs w:val="28"/>
        </w:rPr>
      </w:pPr>
    </w:p>
    <w:p w14:paraId="33CB132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bookmarkStart w:id="0" w:name="bookmark=id.m2ovyd2770dx" w:colFirst="0" w:colLast="0"/>
      <w:bookmarkStart w:id="1" w:name="bookmark=id.cxuf4mgf0a8a" w:colFirst="0" w:colLast="0"/>
      <w:bookmarkEnd w:id="0"/>
      <w:bookmarkEnd w:id="1"/>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10AACA2A"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031A5E91"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5AA81B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193F4DA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2C930065"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Ongoing assessment is conducted during practical (seminar) classes and is aimed at systematically checking the understanding and assimilation of theoretical material, </w:t>
      </w:r>
      <w:r>
        <w:rPr>
          <w:rFonts w:ascii="Times New Roman" w:eastAsia="Times New Roman" w:hAnsi="Times New Roman" w:cs="Times New Roman"/>
          <w:color w:val="000000"/>
          <w:sz w:val="28"/>
          <w:szCs w:val="28"/>
        </w:rPr>
        <w:lastRenderedPageBreak/>
        <w:t>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1E82FEC8"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2274FB33"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7CD5A45F"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2B0FD057"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18B86EF4"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768535D8"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6F6F89F0"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250BC0BD"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4EEDD293" w14:textId="77777777" w:rsidR="00DE6403"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14B428EC"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5E929F34"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39F273F2"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556CD87" w14:textId="77777777" w:rsidR="00DE6403"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Grading system and requirements.</w:t>
      </w:r>
    </w:p>
    <w:p w14:paraId="0E1779E1" w14:textId="77777777" w:rsidR="00DE6403"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35AB6B4E" w14:textId="77777777" w:rsidR="00DE6403" w:rsidRDefault="00DE6403">
      <w:pPr>
        <w:widowControl w:val="0"/>
        <w:spacing w:after="0" w:line="240" w:lineRule="auto"/>
        <w:jc w:val="both"/>
        <w:rPr>
          <w:rFonts w:ascii="Times New Roman" w:eastAsia="Times New Roman" w:hAnsi="Times New Roman" w:cs="Times New Roman"/>
          <w:sz w:val="28"/>
          <w:szCs w:val="28"/>
        </w:rPr>
      </w:pPr>
    </w:p>
    <w:tbl>
      <w:tblPr>
        <w:tblStyle w:val="afc"/>
        <w:tblW w:w="9358" w:type="dxa"/>
        <w:tblInd w:w="0" w:type="dxa"/>
        <w:tblLayout w:type="fixed"/>
        <w:tblLook w:val="0000" w:firstRow="0" w:lastRow="0" w:firstColumn="0" w:lastColumn="0" w:noHBand="0" w:noVBand="0"/>
      </w:tblPr>
      <w:tblGrid>
        <w:gridCol w:w="1701"/>
        <w:gridCol w:w="425"/>
        <w:gridCol w:w="425"/>
        <w:gridCol w:w="426"/>
        <w:gridCol w:w="425"/>
        <w:gridCol w:w="425"/>
        <w:gridCol w:w="425"/>
        <w:gridCol w:w="426"/>
        <w:gridCol w:w="425"/>
        <w:gridCol w:w="425"/>
        <w:gridCol w:w="570"/>
        <w:gridCol w:w="1413"/>
        <w:gridCol w:w="855"/>
        <w:gridCol w:w="992"/>
      </w:tblGrid>
      <w:tr w:rsidR="00DE6403" w14:paraId="204E347B" w14:textId="77777777">
        <w:trPr>
          <w:trHeight w:val="666"/>
        </w:trPr>
        <w:tc>
          <w:tcPr>
            <w:tcW w:w="1701" w:type="dxa"/>
            <w:tcBorders>
              <w:top w:val="single" w:sz="4" w:space="0" w:color="000000"/>
              <w:left w:val="single" w:sz="4" w:space="0" w:color="000000"/>
              <w:bottom w:val="single" w:sz="4" w:space="0" w:color="000000"/>
            </w:tcBorders>
          </w:tcPr>
          <w:p w14:paraId="0C405C84" w14:textId="77777777" w:rsidR="00DE6403" w:rsidRDefault="00DE6403">
            <w:pPr>
              <w:widowControl w:val="0"/>
              <w:spacing w:after="0" w:line="240" w:lineRule="auto"/>
              <w:rPr>
                <w:rFonts w:ascii="Times New Roman" w:eastAsia="Times New Roman" w:hAnsi="Times New Roman" w:cs="Times New Roman"/>
                <w:sz w:val="28"/>
                <w:szCs w:val="28"/>
              </w:rPr>
            </w:pPr>
          </w:p>
        </w:tc>
        <w:tc>
          <w:tcPr>
            <w:tcW w:w="4397" w:type="dxa"/>
            <w:gridSpan w:val="10"/>
            <w:tcBorders>
              <w:top w:val="single" w:sz="4" w:space="0" w:color="000000"/>
              <w:left w:val="single" w:sz="4" w:space="0" w:color="000000"/>
              <w:bottom w:val="single" w:sz="4" w:space="0" w:color="000000"/>
              <w:right w:val="single" w:sz="4" w:space="0" w:color="000000"/>
            </w:tcBorders>
            <w:vAlign w:val="center"/>
          </w:tcPr>
          <w:p w14:paraId="1C29EAE1" w14:textId="77777777" w:rsidR="00DE6403"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sz w:val="28"/>
                <w:szCs w:val="28"/>
              </w:rPr>
              <w:t>Ongoing knowledge assessment</w:t>
            </w:r>
          </w:p>
        </w:tc>
        <w:tc>
          <w:tcPr>
            <w:tcW w:w="1413" w:type="dxa"/>
            <w:tcBorders>
              <w:top w:val="single" w:sz="4" w:space="0" w:color="000000"/>
              <w:left w:val="single" w:sz="4" w:space="0" w:color="000000"/>
              <w:bottom w:val="single" w:sz="4" w:space="0" w:color="000000"/>
            </w:tcBorders>
            <w:vAlign w:val="center"/>
          </w:tcPr>
          <w:p w14:paraId="0F2472B0"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Modular assessment task</w:t>
            </w:r>
          </w:p>
        </w:tc>
        <w:tc>
          <w:tcPr>
            <w:tcW w:w="855" w:type="dxa"/>
            <w:tcBorders>
              <w:top w:val="single" w:sz="4" w:space="0" w:color="000000"/>
              <w:left w:val="single" w:sz="4" w:space="0" w:color="000000"/>
              <w:bottom w:val="single" w:sz="4" w:space="0" w:color="000000"/>
            </w:tcBorders>
            <w:vAlign w:val="center"/>
          </w:tcPr>
          <w:p w14:paraId="04507F37" w14:textId="77777777" w:rsidR="00DE6403"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Exam</w:t>
            </w:r>
          </w:p>
        </w:tc>
        <w:tc>
          <w:tcPr>
            <w:tcW w:w="992" w:type="dxa"/>
            <w:tcBorders>
              <w:top w:val="single" w:sz="4" w:space="0" w:color="000000"/>
              <w:left w:val="single" w:sz="4" w:space="0" w:color="000000"/>
              <w:bottom w:val="single" w:sz="4" w:space="0" w:color="000000"/>
              <w:right w:val="single" w:sz="4" w:space="0" w:color="000000"/>
            </w:tcBorders>
            <w:vAlign w:val="center"/>
          </w:tcPr>
          <w:p w14:paraId="1F2D1A14"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r>
      <w:tr w:rsidR="00DE6403" w14:paraId="256BB86B" w14:textId="77777777">
        <w:trPr>
          <w:cantSplit/>
          <w:trHeight w:val="1153"/>
        </w:trPr>
        <w:tc>
          <w:tcPr>
            <w:tcW w:w="1701" w:type="dxa"/>
            <w:tcBorders>
              <w:left w:val="single" w:sz="4" w:space="0" w:color="000000"/>
              <w:bottom w:val="single" w:sz="4" w:space="0" w:color="000000"/>
            </w:tcBorders>
          </w:tcPr>
          <w:p w14:paraId="73400389"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Topics</w:t>
            </w:r>
          </w:p>
        </w:tc>
        <w:tc>
          <w:tcPr>
            <w:tcW w:w="425" w:type="dxa"/>
            <w:tcBorders>
              <w:left w:val="single" w:sz="4" w:space="0" w:color="000000"/>
              <w:bottom w:val="single" w:sz="4" w:space="0" w:color="000000"/>
            </w:tcBorders>
          </w:tcPr>
          <w:p w14:paraId="79D4891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425" w:type="dxa"/>
            <w:tcBorders>
              <w:left w:val="single" w:sz="4" w:space="0" w:color="000000"/>
              <w:bottom w:val="single" w:sz="4" w:space="0" w:color="000000"/>
            </w:tcBorders>
          </w:tcPr>
          <w:p w14:paraId="699C2DF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426" w:type="dxa"/>
            <w:tcBorders>
              <w:left w:val="single" w:sz="4" w:space="0" w:color="000000"/>
              <w:bottom w:val="single" w:sz="4" w:space="0" w:color="000000"/>
            </w:tcBorders>
          </w:tcPr>
          <w:p w14:paraId="279C4B40"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25" w:type="dxa"/>
            <w:tcBorders>
              <w:left w:val="single" w:sz="4" w:space="0" w:color="000000"/>
              <w:bottom w:val="single" w:sz="4" w:space="0" w:color="000000"/>
            </w:tcBorders>
          </w:tcPr>
          <w:p w14:paraId="31FFAD05"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25" w:type="dxa"/>
            <w:tcBorders>
              <w:left w:val="single" w:sz="4" w:space="0" w:color="000000"/>
              <w:bottom w:val="single" w:sz="4" w:space="0" w:color="000000"/>
            </w:tcBorders>
          </w:tcPr>
          <w:p w14:paraId="389D5955"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25" w:type="dxa"/>
            <w:tcBorders>
              <w:left w:val="single" w:sz="4" w:space="0" w:color="000000"/>
              <w:bottom w:val="single" w:sz="4" w:space="0" w:color="000000"/>
            </w:tcBorders>
          </w:tcPr>
          <w:p w14:paraId="0778D46B"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426" w:type="dxa"/>
            <w:tcBorders>
              <w:left w:val="single" w:sz="4" w:space="0" w:color="000000"/>
              <w:bottom w:val="single" w:sz="4" w:space="0" w:color="000000"/>
            </w:tcBorders>
          </w:tcPr>
          <w:p w14:paraId="4179CBB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25" w:type="dxa"/>
            <w:tcBorders>
              <w:left w:val="single" w:sz="4" w:space="0" w:color="000000"/>
              <w:bottom w:val="single" w:sz="4" w:space="0" w:color="000000"/>
            </w:tcBorders>
          </w:tcPr>
          <w:p w14:paraId="7889D458"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25" w:type="dxa"/>
            <w:tcBorders>
              <w:left w:val="single" w:sz="4" w:space="0" w:color="000000"/>
              <w:bottom w:val="single" w:sz="4" w:space="0" w:color="000000"/>
              <w:right w:val="single" w:sz="4" w:space="0" w:color="000000"/>
            </w:tcBorders>
          </w:tcPr>
          <w:p w14:paraId="5AA42722"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570" w:type="dxa"/>
            <w:tcBorders>
              <w:left w:val="single" w:sz="4" w:space="0" w:color="000000"/>
              <w:bottom w:val="single" w:sz="4" w:space="0" w:color="000000"/>
              <w:right w:val="single" w:sz="4" w:space="0" w:color="000000"/>
            </w:tcBorders>
          </w:tcPr>
          <w:p w14:paraId="667E243B"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1413" w:type="dxa"/>
            <w:vMerge w:val="restart"/>
            <w:tcBorders>
              <w:left w:val="single" w:sz="4" w:space="0" w:color="000000"/>
            </w:tcBorders>
          </w:tcPr>
          <w:p w14:paraId="1040E652" w14:textId="77777777" w:rsidR="00DE6403" w:rsidRDefault="00DE6403">
            <w:pPr>
              <w:widowControl w:val="0"/>
              <w:spacing w:after="0" w:line="240" w:lineRule="auto"/>
              <w:jc w:val="center"/>
              <w:rPr>
                <w:rFonts w:ascii="Times New Roman" w:eastAsia="Times New Roman" w:hAnsi="Times New Roman" w:cs="Times New Roman"/>
                <w:sz w:val="28"/>
                <w:szCs w:val="28"/>
              </w:rPr>
            </w:pPr>
          </w:p>
          <w:p w14:paraId="24D08712" w14:textId="77777777" w:rsidR="00DE6403" w:rsidRDefault="00DE6403">
            <w:pPr>
              <w:widowControl w:val="0"/>
              <w:spacing w:after="0" w:line="240" w:lineRule="auto"/>
              <w:jc w:val="center"/>
              <w:rPr>
                <w:rFonts w:ascii="Times New Roman" w:eastAsia="Times New Roman" w:hAnsi="Times New Roman" w:cs="Times New Roman"/>
                <w:sz w:val="28"/>
                <w:szCs w:val="28"/>
              </w:rPr>
            </w:pPr>
          </w:p>
          <w:p w14:paraId="6EDA889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855" w:type="dxa"/>
            <w:vMerge w:val="restart"/>
            <w:tcBorders>
              <w:left w:val="single" w:sz="4" w:space="0" w:color="000000"/>
            </w:tcBorders>
          </w:tcPr>
          <w:p w14:paraId="50B7EF63" w14:textId="77777777" w:rsidR="00DE6403" w:rsidRDefault="00DE6403">
            <w:pPr>
              <w:widowControl w:val="0"/>
              <w:spacing w:after="0" w:line="240" w:lineRule="auto"/>
              <w:jc w:val="center"/>
              <w:rPr>
                <w:rFonts w:ascii="Times New Roman" w:eastAsia="Times New Roman" w:hAnsi="Times New Roman" w:cs="Times New Roman"/>
                <w:sz w:val="28"/>
                <w:szCs w:val="28"/>
              </w:rPr>
            </w:pPr>
          </w:p>
          <w:p w14:paraId="3B6788A6" w14:textId="77777777" w:rsidR="00DE6403" w:rsidRDefault="00DE6403">
            <w:pPr>
              <w:widowControl w:val="0"/>
              <w:spacing w:after="0" w:line="240" w:lineRule="auto"/>
              <w:jc w:val="center"/>
              <w:rPr>
                <w:rFonts w:ascii="Times New Roman" w:eastAsia="Times New Roman" w:hAnsi="Times New Roman" w:cs="Times New Roman"/>
                <w:sz w:val="28"/>
                <w:szCs w:val="28"/>
              </w:rPr>
            </w:pPr>
          </w:p>
          <w:p w14:paraId="0DF2206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c>
          <w:tcPr>
            <w:tcW w:w="992" w:type="dxa"/>
            <w:vMerge w:val="restart"/>
            <w:tcBorders>
              <w:left w:val="single" w:sz="4" w:space="0" w:color="000000"/>
              <w:right w:val="single" w:sz="4" w:space="0" w:color="000000"/>
            </w:tcBorders>
          </w:tcPr>
          <w:p w14:paraId="1CD29A17" w14:textId="77777777" w:rsidR="00DE6403" w:rsidRDefault="00DE6403">
            <w:pPr>
              <w:widowControl w:val="0"/>
              <w:spacing w:after="0" w:line="240" w:lineRule="auto"/>
              <w:jc w:val="center"/>
              <w:rPr>
                <w:rFonts w:ascii="Times New Roman" w:eastAsia="Times New Roman" w:hAnsi="Times New Roman" w:cs="Times New Roman"/>
                <w:sz w:val="28"/>
                <w:szCs w:val="28"/>
              </w:rPr>
            </w:pPr>
          </w:p>
          <w:p w14:paraId="566E2970" w14:textId="77777777" w:rsidR="00DE6403" w:rsidRDefault="00DE6403">
            <w:pPr>
              <w:widowControl w:val="0"/>
              <w:spacing w:after="0" w:line="240" w:lineRule="auto"/>
              <w:rPr>
                <w:rFonts w:ascii="Times New Roman" w:eastAsia="Times New Roman" w:hAnsi="Times New Roman" w:cs="Times New Roman"/>
                <w:sz w:val="28"/>
                <w:szCs w:val="28"/>
              </w:rPr>
            </w:pPr>
          </w:p>
          <w:p w14:paraId="5B3899A8"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100</w:t>
            </w:r>
          </w:p>
        </w:tc>
      </w:tr>
      <w:tr w:rsidR="00DE6403" w14:paraId="117698A7" w14:textId="77777777">
        <w:trPr>
          <w:trHeight w:val="666"/>
        </w:trPr>
        <w:tc>
          <w:tcPr>
            <w:tcW w:w="1701" w:type="dxa"/>
            <w:tcBorders>
              <w:left w:val="single" w:sz="4" w:space="0" w:color="000000"/>
              <w:bottom w:val="single" w:sz="4" w:space="0" w:color="000000"/>
            </w:tcBorders>
          </w:tcPr>
          <w:p w14:paraId="308EBA69"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Work in a seminar</w:t>
            </w:r>
          </w:p>
        </w:tc>
        <w:tc>
          <w:tcPr>
            <w:tcW w:w="425" w:type="dxa"/>
            <w:tcBorders>
              <w:left w:val="single" w:sz="4" w:space="0" w:color="000000"/>
              <w:bottom w:val="single" w:sz="4" w:space="0" w:color="000000"/>
              <w:right w:val="single" w:sz="4" w:space="0" w:color="000000"/>
            </w:tcBorders>
          </w:tcPr>
          <w:p w14:paraId="6E922A4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786DDC35"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6" w:type="dxa"/>
            <w:tcBorders>
              <w:left w:val="single" w:sz="4" w:space="0" w:color="000000"/>
              <w:bottom w:val="single" w:sz="4" w:space="0" w:color="000000"/>
              <w:right w:val="single" w:sz="4" w:space="0" w:color="000000"/>
            </w:tcBorders>
          </w:tcPr>
          <w:p w14:paraId="29A5D06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593979C1"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0D00B5A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right w:val="single" w:sz="4" w:space="0" w:color="000000"/>
            </w:tcBorders>
          </w:tcPr>
          <w:p w14:paraId="6F44DD7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6" w:type="dxa"/>
            <w:tcBorders>
              <w:left w:val="single" w:sz="4" w:space="0" w:color="000000"/>
              <w:bottom w:val="single" w:sz="4" w:space="0" w:color="000000"/>
            </w:tcBorders>
          </w:tcPr>
          <w:p w14:paraId="3FF21C3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4631441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right w:val="single" w:sz="4" w:space="0" w:color="000000"/>
            </w:tcBorders>
          </w:tcPr>
          <w:p w14:paraId="6B0F2071"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570" w:type="dxa"/>
            <w:tcBorders>
              <w:left w:val="single" w:sz="4" w:space="0" w:color="000000"/>
              <w:bottom w:val="single" w:sz="4" w:space="0" w:color="000000"/>
              <w:right w:val="single" w:sz="4" w:space="0" w:color="000000"/>
            </w:tcBorders>
          </w:tcPr>
          <w:p w14:paraId="3E5C7E52"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413" w:type="dxa"/>
            <w:vMerge/>
            <w:tcBorders>
              <w:left w:val="single" w:sz="4" w:space="0" w:color="000000"/>
            </w:tcBorders>
          </w:tcPr>
          <w:p w14:paraId="7D66DF96"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855" w:type="dxa"/>
            <w:vMerge/>
            <w:tcBorders>
              <w:left w:val="single" w:sz="4" w:space="0" w:color="000000"/>
            </w:tcBorders>
          </w:tcPr>
          <w:p w14:paraId="6E9C687D"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92" w:type="dxa"/>
            <w:vMerge/>
            <w:tcBorders>
              <w:left w:val="single" w:sz="4" w:space="0" w:color="000000"/>
              <w:right w:val="single" w:sz="4" w:space="0" w:color="000000"/>
            </w:tcBorders>
          </w:tcPr>
          <w:p w14:paraId="01616BF0"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DE6403" w14:paraId="5F6AA79C" w14:textId="77777777">
        <w:trPr>
          <w:trHeight w:val="442"/>
        </w:trPr>
        <w:tc>
          <w:tcPr>
            <w:tcW w:w="1701" w:type="dxa"/>
            <w:tcBorders>
              <w:left w:val="single" w:sz="4" w:space="0" w:color="000000"/>
              <w:bottom w:val="single" w:sz="4" w:space="0" w:color="000000"/>
            </w:tcBorders>
          </w:tcPr>
          <w:p w14:paraId="0DCAF692" w14:textId="77777777" w:rsidR="00DE6403"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w:t>
            </w:r>
          </w:p>
        </w:tc>
        <w:tc>
          <w:tcPr>
            <w:tcW w:w="425" w:type="dxa"/>
            <w:tcBorders>
              <w:left w:val="single" w:sz="4" w:space="0" w:color="000000"/>
              <w:bottom w:val="single" w:sz="4" w:space="0" w:color="000000"/>
            </w:tcBorders>
          </w:tcPr>
          <w:p w14:paraId="3E61EAFC"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4D80A09F"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5A9ED877"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1AE32BD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1816A6F0"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380EFD0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320D1BE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3BF54A02"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4C2512A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70" w:type="dxa"/>
            <w:tcBorders>
              <w:top w:val="single" w:sz="4" w:space="0" w:color="000000"/>
              <w:left w:val="single" w:sz="4" w:space="0" w:color="000000"/>
              <w:bottom w:val="single" w:sz="4" w:space="0" w:color="000000"/>
              <w:right w:val="single" w:sz="4" w:space="0" w:color="000000"/>
            </w:tcBorders>
          </w:tcPr>
          <w:p w14:paraId="454A82E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3" w:type="dxa"/>
            <w:vMerge/>
            <w:tcBorders>
              <w:left w:val="single" w:sz="4" w:space="0" w:color="000000"/>
            </w:tcBorders>
          </w:tcPr>
          <w:p w14:paraId="568C2AF6"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855" w:type="dxa"/>
            <w:vMerge/>
            <w:tcBorders>
              <w:left w:val="single" w:sz="4" w:space="0" w:color="000000"/>
            </w:tcBorders>
          </w:tcPr>
          <w:p w14:paraId="5A58F9CE"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92" w:type="dxa"/>
            <w:vMerge/>
            <w:tcBorders>
              <w:left w:val="single" w:sz="4" w:space="0" w:color="000000"/>
              <w:right w:val="single" w:sz="4" w:space="0" w:color="000000"/>
            </w:tcBorders>
          </w:tcPr>
          <w:p w14:paraId="227436E5"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bl>
    <w:p w14:paraId="19AD0343" w14:textId="77777777" w:rsidR="00DE6403" w:rsidRDefault="00DE6403">
      <w:pPr>
        <w:widowControl w:val="0"/>
        <w:spacing w:after="0" w:line="240" w:lineRule="auto"/>
        <w:jc w:val="both"/>
        <w:rPr>
          <w:rFonts w:ascii="Times New Roman" w:eastAsia="Times New Roman" w:hAnsi="Times New Roman" w:cs="Times New Roman"/>
          <w:sz w:val="28"/>
          <w:szCs w:val="28"/>
        </w:rPr>
      </w:pPr>
    </w:p>
    <w:p w14:paraId="1D62D0EC"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72F5AE52"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562D6FA8"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The criteria for evaluating learning outcomes and the distribution of points are regulated by the Regulations on the Assessment of Students’ Academic Achievements at PJSC “HEI IAPM”.</w:t>
      </w:r>
    </w:p>
    <w:p w14:paraId="28216137"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239B4503"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Management of intellectual property”</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16B34940"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70DE8D3"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Management of intellectual property</w:t>
      </w:r>
      <w:r>
        <w:rPr>
          <w:rFonts w:ascii="Times New Roman" w:eastAsia="Times New Roman" w:hAnsi="Times New Roman" w:cs="Times New Roman"/>
          <w:color w:val="000000"/>
          <w:sz w:val="28"/>
          <w:szCs w:val="28"/>
        </w:rPr>
        <w:t>”:</w:t>
      </w:r>
    </w:p>
    <w:p w14:paraId="6BA9D8EA"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6DF3895C"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32E96E1B"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4031DA00"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538503D2"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30F0769E"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14035162"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5E55E91A"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20DC75BF"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49DD80F"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76768FB6"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3D743845"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2E9F925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3ABE2DA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2CEA7141"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3907A1AE"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74D26C98" w14:textId="77777777" w:rsidR="00DE6403" w:rsidRDefault="00DE6403">
      <w:pPr>
        <w:spacing w:after="0" w:line="240" w:lineRule="auto"/>
        <w:ind w:firstLine="720"/>
        <w:jc w:val="both"/>
        <w:rPr>
          <w:rFonts w:ascii="Times New Roman" w:eastAsia="Times New Roman" w:hAnsi="Times New Roman" w:cs="Times New Roman"/>
          <w:color w:val="000000"/>
          <w:sz w:val="28"/>
          <w:szCs w:val="28"/>
        </w:rPr>
      </w:pPr>
    </w:p>
    <w:p w14:paraId="479D01FF"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Management of intellectual property”</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6D627A5C"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75FD1CBF"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grade for a discipline assessed by examination consists of two components: the results of ongoing assessment and the exam grade.</w:t>
      </w:r>
    </w:p>
    <w:p w14:paraId="0A44B903"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097A51AE"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349C2C6B"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The grade for ongoing assessment is formed as the sum of rating points earned by the student during seminar/practical classes and any incentive (bonus) points, if applicable.</w:t>
      </w:r>
    </w:p>
    <w:p w14:paraId="6660E527"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2E43F2AB" w14:textId="77777777" w:rsidR="00DE6403" w:rsidRDefault="00DE6403">
      <w:pPr>
        <w:spacing w:after="0" w:line="240" w:lineRule="auto"/>
        <w:ind w:firstLine="720"/>
        <w:jc w:val="both"/>
        <w:rPr>
          <w:rFonts w:ascii="Times New Roman" w:eastAsia="Times New Roman" w:hAnsi="Times New Roman" w:cs="Times New Roman"/>
          <w:color w:val="000000"/>
          <w:sz w:val="28"/>
          <w:szCs w:val="28"/>
        </w:rPr>
      </w:pPr>
    </w:p>
    <w:p w14:paraId="7FC15A5E" w14:textId="77777777" w:rsidR="00DE6403"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the assessment of exam tasks</w:t>
      </w:r>
    </w:p>
    <w:tbl>
      <w:tblPr>
        <w:tblStyle w:val="afd"/>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DE6403" w14:paraId="52500915"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B4B698"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CDB52B"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AC0531"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DE6403" w14:paraId="453ECC5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3795420"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09D463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C9C5A3D"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DE6403" w14:paraId="2E1C506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53150DD"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FF7F76B"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6DB8224"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DE6403" w14:paraId="533270E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F448703"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2FC3589"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09EB27F"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DE6403" w14:paraId="765A7797"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123162E"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A16B3A2" w14:textId="77777777" w:rsidR="00DE6403"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3F62E48" w14:textId="77777777" w:rsidR="00DE6403"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07AACA3B" w14:textId="77777777" w:rsidR="00DE6403" w:rsidRDefault="00DE6403">
      <w:pPr>
        <w:spacing w:after="0" w:line="240" w:lineRule="auto"/>
        <w:ind w:firstLine="720"/>
        <w:jc w:val="both"/>
        <w:rPr>
          <w:rFonts w:ascii="Times New Roman" w:eastAsia="Times New Roman" w:hAnsi="Times New Roman" w:cs="Times New Roman"/>
          <w:color w:val="000000"/>
          <w:sz w:val="28"/>
          <w:szCs w:val="28"/>
        </w:rPr>
      </w:pPr>
    </w:p>
    <w:p w14:paraId="3E1CDBFA"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742FD58B"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6A201986"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6C801666"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08E83667"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4F7BBDE5"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5930E80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4442860C"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71D5FF6"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e"/>
        <w:tblW w:w="9481" w:type="dxa"/>
        <w:tblInd w:w="-60" w:type="dxa"/>
        <w:tblLayout w:type="fixed"/>
        <w:tblLook w:val="0000" w:firstRow="0" w:lastRow="0" w:firstColumn="0" w:lastColumn="0" w:noHBand="0" w:noVBand="0"/>
      </w:tblPr>
      <w:tblGrid>
        <w:gridCol w:w="2592"/>
        <w:gridCol w:w="1689"/>
        <w:gridCol w:w="1509"/>
        <w:gridCol w:w="1710"/>
        <w:gridCol w:w="1981"/>
      </w:tblGrid>
      <w:tr w:rsidR="00DE6403" w14:paraId="735DE86E" w14:textId="77777777">
        <w:tc>
          <w:tcPr>
            <w:tcW w:w="2592" w:type="dxa"/>
            <w:vMerge w:val="restart"/>
            <w:tcBorders>
              <w:top w:val="single" w:sz="4" w:space="0" w:color="000000"/>
              <w:left w:val="single" w:sz="4" w:space="0" w:color="000000"/>
              <w:bottom w:val="single" w:sz="4" w:space="0" w:color="000000"/>
            </w:tcBorders>
          </w:tcPr>
          <w:p w14:paraId="4CF745E5" w14:textId="77777777" w:rsidR="00DE6403"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54140C0"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DE6403" w14:paraId="71F8706B" w14:textId="77777777">
        <w:tc>
          <w:tcPr>
            <w:tcW w:w="2592" w:type="dxa"/>
            <w:vMerge/>
            <w:tcBorders>
              <w:top w:val="single" w:sz="4" w:space="0" w:color="000000"/>
              <w:left w:val="single" w:sz="4" w:space="0" w:color="000000"/>
              <w:bottom w:val="single" w:sz="4" w:space="0" w:color="000000"/>
            </w:tcBorders>
          </w:tcPr>
          <w:p w14:paraId="74AAA644"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51B96488"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vAlign w:val="center"/>
          </w:tcPr>
          <w:p w14:paraId="5052898D"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vAlign w:val="center"/>
          </w:tcPr>
          <w:p w14:paraId="0973BF64"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388218A6"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DE6403" w14:paraId="6AD0D1AC" w14:textId="77777777">
        <w:tc>
          <w:tcPr>
            <w:tcW w:w="2592" w:type="dxa"/>
            <w:tcBorders>
              <w:left w:val="single" w:sz="4" w:space="0" w:color="000000"/>
              <w:bottom w:val="single" w:sz="4" w:space="0" w:color="000000"/>
            </w:tcBorders>
          </w:tcPr>
          <w:p w14:paraId="62FDAA16"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1</w:t>
            </w:r>
          </w:p>
        </w:tc>
        <w:tc>
          <w:tcPr>
            <w:tcW w:w="1689" w:type="dxa"/>
            <w:tcBorders>
              <w:left w:val="single" w:sz="4" w:space="0" w:color="000000"/>
              <w:bottom w:val="single" w:sz="4" w:space="0" w:color="000000"/>
            </w:tcBorders>
          </w:tcPr>
          <w:p w14:paraId="3872F984"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2DDB0988"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4709724F"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50731A9D" w14:textId="77777777" w:rsidR="00DE6403"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6808AF1D"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3032E0A6"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AE1167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1827F574" w14:textId="77777777" w:rsidR="00DE6403" w:rsidRDefault="00DE6403">
      <w:pPr>
        <w:spacing w:after="0" w:line="240" w:lineRule="auto"/>
        <w:ind w:firstLine="720"/>
        <w:jc w:val="both"/>
        <w:rPr>
          <w:rFonts w:ascii="Times New Roman" w:eastAsia="Times New Roman" w:hAnsi="Times New Roman" w:cs="Times New Roman"/>
          <w:color w:val="000000"/>
          <w:sz w:val="28"/>
          <w:szCs w:val="28"/>
        </w:rPr>
      </w:pPr>
    </w:p>
    <w:p w14:paraId="50002048" w14:textId="77777777" w:rsidR="00DE6403"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f"/>
        <w:tblW w:w="9624" w:type="dxa"/>
        <w:tblInd w:w="10" w:type="dxa"/>
        <w:tblLayout w:type="fixed"/>
        <w:tblLook w:val="0000" w:firstRow="0" w:lastRow="0" w:firstColumn="0" w:lastColumn="0" w:noHBand="0" w:noVBand="0"/>
      </w:tblPr>
      <w:tblGrid>
        <w:gridCol w:w="1970"/>
        <w:gridCol w:w="1540"/>
        <w:gridCol w:w="3581"/>
        <w:gridCol w:w="2533"/>
      </w:tblGrid>
      <w:tr w:rsidR="00DE6403" w14:paraId="434CDE4A"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2FE34C63"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3DF650D3"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2D8786D8"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DE6403" w14:paraId="57300CEF" w14:textId="77777777">
        <w:trPr>
          <w:trHeight w:val="981"/>
        </w:trPr>
        <w:tc>
          <w:tcPr>
            <w:tcW w:w="1970" w:type="dxa"/>
            <w:vMerge/>
            <w:tcBorders>
              <w:top w:val="single" w:sz="4" w:space="0" w:color="000000"/>
              <w:left w:val="single" w:sz="4" w:space="0" w:color="000000"/>
            </w:tcBorders>
            <w:shd w:val="clear" w:color="auto" w:fill="FFFFFF"/>
            <w:vAlign w:val="center"/>
          </w:tcPr>
          <w:p w14:paraId="76F8A435"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3BC0719A"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60D2ED98"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16F1D975"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DE6403" w14:paraId="615BE46D" w14:textId="77777777">
        <w:trPr>
          <w:trHeight w:val="362"/>
        </w:trPr>
        <w:tc>
          <w:tcPr>
            <w:tcW w:w="1970" w:type="dxa"/>
            <w:tcBorders>
              <w:top w:val="single" w:sz="4" w:space="0" w:color="000000"/>
              <w:left w:val="single" w:sz="4" w:space="0" w:color="000000"/>
            </w:tcBorders>
            <w:shd w:val="clear" w:color="auto" w:fill="FFFFFF"/>
          </w:tcPr>
          <w:p w14:paraId="696D05D6"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1685DADB"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2829BD8E"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6459BAB0"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DE6403" w14:paraId="7CABBC73" w14:textId="77777777">
        <w:trPr>
          <w:trHeight w:val="357"/>
        </w:trPr>
        <w:tc>
          <w:tcPr>
            <w:tcW w:w="1970" w:type="dxa"/>
            <w:tcBorders>
              <w:top w:val="single" w:sz="4" w:space="0" w:color="000000"/>
              <w:left w:val="single" w:sz="4" w:space="0" w:color="000000"/>
            </w:tcBorders>
            <w:shd w:val="clear" w:color="auto" w:fill="FFFFFF"/>
          </w:tcPr>
          <w:p w14:paraId="1D57186B"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31508D26"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7A43C132"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14578591"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DE6403" w14:paraId="1475C7E3" w14:textId="77777777">
        <w:trPr>
          <w:trHeight w:val="353"/>
        </w:trPr>
        <w:tc>
          <w:tcPr>
            <w:tcW w:w="1970" w:type="dxa"/>
            <w:tcBorders>
              <w:top w:val="single" w:sz="4" w:space="0" w:color="000000"/>
              <w:left w:val="single" w:sz="4" w:space="0" w:color="000000"/>
            </w:tcBorders>
            <w:shd w:val="clear" w:color="auto" w:fill="FFFFFF"/>
          </w:tcPr>
          <w:p w14:paraId="6369917E"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63FF8994"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5D4DE7CD"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0C2990A"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DE6403" w14:paraId="132FFE36" w14:textId="77777777">
        <w:trPr>
          <w:trHeight w:val="364"/>
        </w:trPr>
        <w:tc>
          <w:tcPr>
            <w:tcW w:w="1970" w:type="dxa"/>
            <w:tcBorders>
              <w:top w:val="single" w:sz="4" w:space="0" w:color="000000"/>
              <w:left w:val="single" w:sz="4" w:space="0" w:color="000000"/>
            </w:tcBorders>
            <w:shd w:val="clear" w:color="auto" w:fill="FFFFFF"/>
          </w:tcPr>
          <w:p w14:paraId="05820C3C"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691C192F"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75FF1389"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59D6B73"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DE6403" w14:paraId="6CEAE74D" w14:textId="77777777">
        <w:trPr>
          <w:trHeight w:val="344"/>
        </w:trPr>
        <w:tc>
          <w:tcPr>
            <w:tcW w:w="1970" w:type="dxa"/>
            <w:tcBorders>
              <w:top w:val="single" w:sz="4" w:space="0" w:color="000000"/>
              <w:left w:val="single" w:sz="4" w:space="0" w:color="000000"/>
            </w:tcBorders>
            <w:shd w:val="clear" w:color="auto" w:fill="FFFFFF"/>
          </w:tcPr>
          <w:p w14:paraId="33381285"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092B34F0"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599A8CA4"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91244ED" w14:textId="77777777" w:rsidR="00DE6403" w:rsidRDefault="00DE6403">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DE6403" w14:paraId="2E509FC1" w14:textId="77777777">
        <w:trPr>
          <w:trHeight w:val="1362"/>
        </w:trPr>
        <w:tc>
          <w:tcPr>
            <w:tcW w:w="1970" w:type="dxa"/>
            <w:tcBorders>
              <w:top w:val="single" w:sz="4" w:space="0" w:color="000000"/>
              <w:left w:val="single" w:sz="4" w:space="0" w:color="000000"/>
            </w:tcBorders>
            <w:shd w:val="clear" w:color="auto" w:fill="FFFFFF"/>
          </w:tcPr>
          <w:p w14:paraId="0AB85F73"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5E327699"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50FCB1C9"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093D3C92"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D496AA2" w14:textId="77777777" w:rsidR="00DE6403" w:rsidRDefault="00DE6403">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548C882A"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DE6403" w14:paraId="11D5A950"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60D898D"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3062C947" w14:textId="77777777" w:rsidR="00DE6403"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58D08793"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52EE09FD"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110204DB" w14:textId="77777777" w:rsidR="00DE6403" w:rsidRDefault="00DE6403">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15810626" w14:textId="77777777" w:rsidR="00DE6403"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4CCD1CCE"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73D6F442"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1865779F"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07AADB1E"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40A4C4E5"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0C226B79"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1F81B21D"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4D9ABC01"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adhere to the norms of academic behaviour and ethics.</w:t>
      </w:r>
    </w:p>
    <w:p w14:paraId="442B586A"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DEBC37B"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Management of intellectual property”</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68B731E1"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570169AA"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C3F924B" w14:textId="77777777" w:rsidR="00DE6403" w:rsidRDefault="00DE6403">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5DDC4AE5"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67321293" w14:textId="77777777" w:rsidR="00DE6403"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Management of intellectual property”</w:t>
      </w:r>
      <w:r>
        <w:rPr>
          <w:rFonts w:ascii="Times New Roman" w:eastAsia="Times New Roman" w:hAnsi="Times New Roman" w:cs="Times New Roman"/>
          <w:color w:val="000000"/>
          <w:sz w:val="28"/>
          <w:szCs w:val="28"/>
        </w:rPr>
        <w:t>.</w:t>
      </w:r>
    </w:p>
    <w:p w14:paraId="06FF7403" w14:textId="77777777" w:rsidR="00DE6403" w:rsidRDefault="00DE6403">
      <w:pPr>
        <w:widowControl w:val="0"/>
        <w:shd w:val="clear" w:color="auto" w:fill="FFFFFF"/>
        <w:spacing w:after="0" w:line="240" w:lineRule="auto"/>
        <w:jc w:val="both"/>
        <w:rPr>
          <w:rFonts w:ascii="Times New Roman" w:eastAsia="Times New Roman" w:hAnsi="Times New Roman" w:cs="Times New Roman"/>
          <w:sz w:val="28"/>
          <w:szCs w:val="28"/>
        </w:rPr>
      </w:pPr>
    </w:p>
    <w:p w14:paraId="11124C11" w14:textId="77777777" w:rsidR="00DE6403" w:rsidRDefault="00000000">
      <w:pPr>
        <w:widowControl w:val="0"/>
        <w:pBdr>
          <w:top w:val="nil"/>
          <w:left w:val="nil"/>
          <w:bottom w:val="nil"/>
          <w:right w:val="nil"/>
          <w:between w:val="nil"/>
        </w:pBdr>
        <w:tabs>
          <w:tab w:val="left" w:pos="993"/>
        </w:tabs>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05FCEBC4" w14:textId="77777777" w:rsidR="00DE6403"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Basic literature:</w:t>
      </w:r>
    </w:p>
    <w:p w14:paraId="52ED6B89"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bookmarkStart w:id="2" w:name="_heading=h.rqs61nwalcxz" w:colFirst="0" w:colLast="0"/>
      <w:bookmarkEnd w:id="2"/>
      <w:r>
        <w:rPr>
          <w:rFonts w:ascii="Times New Roman" w:eastAsia="Times New Roman" w:hAnsi="Times New Roman" w:cs="Times New Roman"/>
          <w:color w:val="000000"/>
          <w:sz w:val="28"/>
          <w:szCs w:val="28"/>
        </w:rPr>
        <w:t>Regulatory and legal acts with relevant amendments and additions. Paris Convention for the Protection of Industrial Property. Adopted on 20 March 1883. Date of entry into force for Ukraine: 25 December 1991. URL: http://zakon.rada.gov.ua/laws/show/995_123</w:t>
      </w:r>
    </w:p>
    <w:p w14:paraId="79433C7C"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Convention Establishing the World Intellectual Property Organisation. Date of entry into force for Ukraine: 26 April 1970. [Electronic resource]. URL: http://zakon.rada.gov.ua/laws/show/995_169</w:t>
      </w:r>
    </w:p>
    <w:p w14:paraId="23745975"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Agreement on Trade-Related Aspects of Intellectual Property Rights (TRIPS) of 15 April 1994. [Electronic resource]. URL: http://zakon.rada.gov.ua/laws/show/981_018</w:t>
      </w:r>
    </w:p>
    <w:p w14:paraId="4198B372"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Patent Cooperation Treaty (PCT) dated 19 June 1970. Date of entry into force for Ukraine: 25 December 1991. [Electronic resource]. URL: http://zakon.rada.gov.ua/laws/show/895_001</w:t>
      </w:r>
    </w:p>
    <w:p w14:paraId="1A29035E"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Treaty on the Law on Trademarks (TLT). Date of entry into force for Ukraine: 1 August 1996. [Electronic resource]. URL: http://zakon.rada.gov.ua/laws/show/995_102</w:t>
      </w:r>
    </w:p>
    <w:p w14:paraId="3272F6A7"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International Convention for the Protection of New Varieties of Plants. Date of entry into force for Ukraine: 3 November 1995. [Electronic resource]. URL: http://zakon.rada.gov.ua/laws/show/995_856</w:t>
      </w:r>
    </w:p>
    <w:p w14:paraId="7F6D45C6"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Budapest Treaty on the International Recognition of the Deposit of Microorganisms for the Purposes of Patent Procedure. Date of entry into force for Ukraine: 2 July 1997. [Electronic resource]. URL: </w:t>
      </w:r>
      <w:r>
        <w:rPr>
          <w:rFonts w:ascii="Times New Roman" w:eastAsia="Times New Roman" w:hAnsi="Times New Roman" w:cs="Times New Roman"/>
          <w:color w:val="000000"/>
          <w:sz w:val="28"/>
          <w:szCs w:val="28"/>
        </w:rPr>
        <w:lastRenderedPageBreak/>
        <w:t>http://zakon.rada.gov.ua/laws/show/995_039</w:t>
      </w:r>
    </w:p>
    <w:p w14:paraId="1E1AA65B"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Hague Agreement Concerning the International Registration of Industrial Designs. Date of entry into force for Ukraine: 28 August 2002. [Electronic resource]. URL:</w:t>
      </w:r>
      <w:hyperlink r:id="rId10">
        <w:r>
          <w:rPr>
            <w:rFonts w:ascii="Times New Roman" w:eastAsia="Times New Roman" w:hAnsi="Times New Roman" w:cs="Times New Roman"/>
            <w:color w:val="000000"/>
            <w:sz w:val="28"/>
            <w:szCs w:val="28"/>
          </w:rPr>
          <w:t xml:space="preserve"> http://zakon.rada.gov.ua/laws/show/995_132</w:t>
        </w:r>
      </w:hyperlink>
    </w:p>
    <w:p w14:paraId="7F6CBA69"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Additional Agreement to the Hague Agreement Concerning the International Deposit of Industrial Designs (Signed in Stockholm on 14 July 1967). Date of entry into force for Ukraine: 28 August 2002 [Electronic resource]. URL:</w:t>
      </w:r>
      <w:hyperlink r:id="rId11">
        <w:r>
          <w:rPr>
            <w:rFonts w:ascii="Times New Roman" w:eastAsia="Times New Roman" w:hAnsi="Times New Roman" w:cs="Times New Roman"/>
            <w:color w:val="000000"/>
            <w:sz w:val="28"/>
            <w:szCs w:val="28"/>
          </w:rPr>
          <w:t xml:space="preserve"> http://zakon.rada.gov.ua/laws/show/995_133</w:t>
        </w:r>
      </w:hyperlink>
    </w:p>
    <w:p w14:paraId="093847AF"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Madrid Agreement Concerning the International Registration of Marks of 14 April 1891. Date of entry into force for Ukraine: 25 December 1991. [Electronic resource]. URL:</w:t>
      </w:r>
      <w:hyperlink r:id="rId12">
        <w:r>
          <w:rPr>
            <w:rFonts w:ascii="Times New Roman" w:eastAsia="Times New Roman" w:hAnsi="Times New Roman" w:cs="Times New Roman"/>
            <w:color w:val="000000"/>
            <w:sz w:val="28"/>
            <w:szCs w:val="28"/>
          </w:rPr>
          <w:t xml:space="preserve"> http://zakon.rada.gov.ua/laws/show/995_134</w:t>
        </w:r>
      </w:hyperlink>
    </w:p>
    <w:p w14:paraId="4F22A9AA"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Protocol to the Madrid Agreement Concerning the International Registration of Marks. Adopted in Madrid on 28 June 1989. Date of entry into force for Ukraine: 25 December 1991. [Electronic resource]. URL:</w:t>
      </w:r>
      <w:hyperlink r:id="rId13">
        <w:r>
          <w:rPr>
            <w:rFonts w:ascii="Times New Roman" w:eastAsia="Times New Roman" w:hAnsi="Times New Roman" w:cs="Times New Roman"/>
            <w:color w:val="000000"/>
            <w:sz w:val="28"/>
            <w:szCs w:val="28"/>
          </w:rPr>
          <w:t xml:space="preserve"> http://zakon.rada.gov.ua/laws/show/995_583</w:t>
        </w:r>
      </w:hyperlink>
    </w:p>
    <w:p w14:paraId="7FD3B539"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Nice Agreement Concerning the International Classification of Goods and Services for the Purposes of the Registration of Marks of 15 June 1957. Date of entry into force for Ukraine: 29 December 2000. [Electronic resource]. URL:</w:t>
      </w:r>
      <w:hyperlink r:id="rId14">
        <w:r>
          <w:rPr>
            <w:rFonts w:ascii="Times New Roman" w:eastAsia="Times New Roman" w:hAnsi="Times New Roman" w:cs="Times New Roman"/>
            <w:color w:val="000000"/>
            <w:sz w:val="28"/>
            <w:szCs w:val="28"/>
          </w:rPr>
          <w:t xml:space="preserve"> http://zakon.rada.gov.ua/laws/show/995_066</w:t>
        </w:r>
      </w:hyperlink>
    </w:p>
    <w:p w14:paraId="77DC3D12"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Singapore Treaty on the Law of Trademarks of 27 March 2006, ratified by the Law of Ukraine of 15 April 2009. [Electronic resource]. URL:</w:t>
      </w:r>
      <w:hyperlink r:id="rId15">
        <w:r>
          <w:rPr>
            <w:rFonts w:ascii="Times New Roman" w:eastAsia="Times New Roman" w:hAnsi="Times New Roman" w:cs="Times New Roman"/>
            <w:color w:val="000000"/>
            <w:sz w:val="28"/>
            <w:szCs w:val="28"/>
          </w:rPr>
          <w:t xml:space="preserve"> http://zakon.rada.gov.ua/laws/show/995_h54</w:t>
        </w:r>
      </w:hyperlink>
    </w:p>
    <w:p w14:paraId="571FD4FF"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Berne Convention for the Protection of Literary and Artistic Works Paris Act, date of adoption 24 July 1971, with amendments dated 2 October 1979. Date of entry into force for Ukraine: 31 May 1995. [Electronic resource]. URL:</w:t>
      </w:r>
      <w:hyperlink r:id="rId16">
        <w:r>
          <w:rPr>
            <w:rFonts w:ascii="Times New Roman" w:eastAsia="Times New Roman" w:hAnsi="Times New Roman" w:cs="Times New Roman"/>
            <w:color w:val="000000"/>
            <w:sz w:val="28"/>
            <w:szCs w:val="28"/>
          </w:rPr>
          <w:t xml:space="preserve"> http://zakon.rada.gov.ua/laws/show/995_051</w:t>
        </w:r>
      </w:hyperlink>
    </w:p>
    <w:p w14:paraId="7B3B2568"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Universal Copyright Convention, date of adoption 06.09.52. Date of ratification - 23.12.93. Date of entry into force for Ukraine - 03.11.1995. [Electronic resource]. URL:</w:t>
      </w:r>
      <w:hyperlink r:id="rId17">
        <w:r>
          <w:rPr>
            <w:rFonts w:ascii="Times New Roman" w:eastAsia="Times New Roman" w:hAnsi="Times New Roman" w:cs="Times New Roman"/>
            <w:color w:val="000000"/>
            <w:sz w:val="28"/>
            <w:szCs w:val="28"/>
          </w:rPr>
          <w:t xml:space="preserve"> http://zakon.rada.gov.ua/laws/show/995_052</w:t>
        </w:r>
      </w:hyperlink>
    </w:p>
    <w:p w14:paraId="271700C4"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WIPO Copyright Treaty, date of conclusion 20.12.96. Date of accession - 20.09.2001, date of ratification - 23.12.93. Date of entry into force for Ukraine - 03.11.1995. [Electronic resource]. URL:</w:t>
      </w:r>
      <w:hyperlink r:id="rId18">
        <w:r>
          <w:rPr>
            <w:rFonts w:ascii="Times New Roman" w:eastAsia="Times New Roman" w:hAnsi="Times New Roman" w:cs="Times New Roman"/>
            <w:color w:val="000000"/>
            <w:sz w:val="28"/>
            <w:szCs w:val="28"/>
          </w:rPr>
          <w:t xml:space="preserve"> http://zakon.rada.gov.ua/laws/show/995_770</w:t>
        </w:r>
      </w:hyperlink>
    </w:p>
    <w:p w14:paraId="38852DF4"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International Convention for the Protection of Performers, Producers of Phonograms and Broadcasting Organisations (Rome Convention), date of adoption: 26 October 1961. Date of Ukraine's accession: 20 September 2001. [Electronic resource]. URL:</w:t>
      </w:r>
      <w:hyperlink r:id="rId19">
        <w:r>
          <w:rPr>
            <w:rFonts w:ascii="Times New Roman" w:eastAsia="Times New Roman" w:hAnsi="Times New Roman" w:cs="Times New Roman"/>
            <w:color w:val="000000"/>
            <w:sz w:val="28"/>
            <w:szCs w:val="28"/>
          </w:rPr>
          <w:t xml:space="preserve"> http://zakon.rada.gov.ua/laws/show/995_763</w:t>
        </w:r>
      </w:hyperlink>
    </w:p>
    <w:p w14:paraId="6840BFCE"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Convention for the Protection of Producers of Phonograms Against Unauthorised Duplication of Their Phonograms (Phonograms Convention), date of adoption: 29 October 1971. Date of Ukraine's accession: 15 June 1999. [Electronic resource]. URL:</w:t>
      </w:r>
      <w:hyperlink r:id="rId20">
        <w:r>
          <w:rPr>
            <w:rFonts w:ascii="Times New Roman" w:eastAsia="Times New Roman" w:hAnsi="Times New Roman" w:cs="Times New Roman"/>
            <w:color w:val="000000"/>
            <w:sz w:val="28"/>
            <w:szCs w:val="28"/>
          </w:rPr>
          <w:t xml:space="preserve"> http://zakon.rada.gov.ua/laws/show/995_124</w:t>
        </w:r>
      </w:hyperlink>
    </w:p>
    <w:p w14:paraId="170B3DB2"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World Intellectual Property Organisation Treaty on Performances and Phonograms, date of conclusion 20 December 1996. Date of Ukraine's accession - 20 September 2001. [Electronic resource]. URL:</w:t>
      </w:r>
      <w:hyperlink r:id="rId21">
        <w:r>
          <w:rPr>
            <w:rFonts w:ascii="Times New Roman" w:eastAsia="Times New Roman" w:hAnsi="Times New Roman" w:cs="Times New Roman"/>
            <w:color w:val="000000"/>
            <w:sz w:val="28"/>
            <w:szCs w:val="28"/>
          </w:rPr>
          <w:t xml:space="preserve"> http://zakon.rada.gov.ua/laws/show/995_769</w:t>
        </w:r>
      </w:hyperlink>
    </w:p>
    <w:p w14:paraId="254A92CF"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Civil Code of Ukraine, dated 16 January 2003. Book 4. [Electronic resource]. URL:</w:t>
      </w:r>
      <w:hyperlink r:id="rId22">
        <w:r>
          <w:rPr>
            <w:rFonts w:ascii="Times New Roman" w:eastAsia="Times New Roman" w:hAnsi="Times New Roman" w:cs="Times New Roman"/>
            <w:color w:val="000000"/>
            <w:sz w:val="28"/>
            <w:szCs w:val="28"/>
          </w:rPr>
          <w:t xml:space="preserve"> http://zakon.rada.gov.ua/laws/show/435-15</w:t>
        </w:r>
      </w:hyperlink>
    </w:p>
    <w:p w14:paraId="38EECB11"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Commercial Code of Ukraine, dated 16 January 2003. Chapters 3, 16. [Electronic resource]. URL:</w:t>
      </w:r>
      <w:hyperlink r:id="rId23">
        <w:r>
          <w:rPr>
            <w:rFonts w:ascii="Times New Roman" w:eastAsia="Times New Roman" w:hAnsi="Times New Roman" w:cs="Times New Roman"/>
            <w:color w:val="000000"/>
            <w:sz w:val="28"/>
            <w:szCs w:val="28"/>
          </w:rPr>
          <w:t xml:space="preserve"> http://zakon.rada.gov.ua/laws/show/436-15</w:t>
        </w:r>
      </w:hyperlink>
    </w:p>
    <w:p w14:paraId="3BF12A09"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the Protection of Rights to Inventions and Utility Models" as amended by the Law of Ukraine   dated 01.06.2000 N 1771-III. [Electronic resource]. URL:</w:t>
      </w:r>
      <w:hyperlink r:id="rId24">
        <w:r>
          <w:rPr>
            <w:rFonts w:ascii="Times New Roman" w:eastAsia="Times New Roman" w:hAnsi="Times New Roman" w:cs="Times New Roman"/>
            <w:color w:val="000000"/>
            <w:sz w:val="28"/>
            <w:szCs w:val="28"/>
          </w:rPr>
          <w:t xml:space="preserve"> http://zakon.rada.gov.ua/laws/show/3687-12</w:t>
        </w:r>
      </w:hyperlink>
    </w:p>
    <w:p w14:paraId="2DE67376"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the Protection of Rights to Industrial Designs" dated 15 December 1993 No. 3688-XII. [Electronic resource]. URL:</w:t>
      </w:r>
      <w:hyperlink r:id="rId25">
        <w:r>
          <w:rPr>
            <w:rFonts w:ascii="Times New Roman" w:eastAsia="Times New Roman" w:hAnsi="Times New Roman" w:cs="Times New Roman"/>
            <w:color w:val="000000"/>
            <w:sz w:val="28"/>
            <w:szCs w:val="28"/>
          </w:rPr>
          <w:t xml:space="preserve"> http://zakon.rada.gov.ua/laws/show/3688-12</w:t>
        </w:r>
      </w:hyperlink>
    </w:p>
    <w:p w14:paraId="7CE847AF"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Protection of Rights to Marks for Goods and Services" dated 15 December 1993 No. 3689-XII. [Electronic resource]. URL:</w:t>
      </w:r>
      <w:hyperlink r:id="rId26">
        <w:r>
          <w:rPr>
            <w:rFonts w:ascii="Times New Roman" w:eastAsia="Times New Roman" w:hAnsi="Times New Roman" w:cs="Times New Roman"/>
            <w:color w:val="000000"/>
            <w:sz w:val="28"/>
            <w:szCs w:val="28"/>
          </w:rPr>
          <w:t xml:space="preserve"> http://zakon.rada.gov.ua/laws/show/3689-12</w:t>
        </w:r>
      </w:hyperlink>
    </w:p>
    <w:p w14:paraId="76131243"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Protection of Rights to Indications of Origin of Goods" dated 16 June 1999 No. 752-14. [Electronic resource]. URL:</w:t>
      </w:r>
      <w:hyperlink r:id="rId27">
        <w:r>
          <w:rPr>
            <w:rFonts w:ascii="Times New Roman" w:eastAsia="Times New Roman" w:hAnsi="Times New Roman" w:cs="Times New Roman"/>
            <w:color w:val="000000"/>
            <w:sz w:val="28"/>
            <w:szCs w:val="28"/>
          </w:rPr>
          <w:t xml:space="preserve"> http://zakon.rada.gov.ua/laws/show/752-14</w:t>
        </w:r>
      </w:hyperlink>
    </w:p>
    <w:p w14:paraId="54B080C3" w14:textId="77777777" w:rsidR="00DE6403"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the Protection of Rights to Topographies of Integrated Circuits" dated 5 November 1997 No. 621/97-VR. [Electronic resource]. URL:</w:t>
      </w:r>
      <w:hyperlink r:id="rId28">
        <w:r>
          <w:rPr>
            <w:rFonts w:ascii="Times New Roman" w:eastAsia="Times New Roman" w:hAnsi="Times New Roman" w:cs="Times New Roman"/>
            <w:color w:val="000000"/>
            <w:sz w:val="28"/>
            <w:szCs w:val="28"/>
          </w:rPr>
          <w:t xml:space="preserve"> http://zakon.rada.gov.ua/laws/show/621/97-%D0%B2%D1%80</w:t>
        </w:r>
      </w:hyperlink>
    </w:p>
    <w:p w14:paraId="12488C63" w14:textId="77777777" w:rsidR="00DE6403" w:rsidRDefault="00DE6403">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043E79C0" w14:textId="77777777" w:rsidR="00DE6403"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Additional literature:</w:t>
      </w:r>
    </w:p>
    <w:p w14:paraId="6BD16EAC" w14:textId="77777777" w:rsidR="00DE6403" w:rsidRDefault="00000000">
      <w:pPr>
        <w:widowControl w:val="0"/>
        <w:numPr>
          <w:ilvl w:val="0"/>
          <w:numId w:val="5"/>
        </w:numPr>
        <w:pBdr>
          <w:top w:val="nil"/>
          <w:left w:val="nil"/>
          <w:bottom w:val="nil"/>
          <w:right w:val="nil"/>
          <w:between w:val="nil"/>
        </w:pBdr>
        <w:tabs>
          <w:tab w:val="left" w:pos="567"/>
          <w:tab w:val="left" w:pos="1230"/>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Antonov V. M. Intellectual Property and Computer Copyright. – [2nd ed., stereotype.] / V. M. Antonov. – K.: KNT, 2006. – 520 p.</w:t>
      </w:r>
    </w:p>
    <w:p w14:paraId="5C8FB7F7" w14:textId="77777777" w:rsidR="00DE6403" w:rsidRDefault="00000000">
      <w:pPr>
        <w:widowControl w:val="0"/>
        <w:numPr>
          <w:ilvl w:val="0"/>
          <w:numId w:val="5"/>
        </w:numPr>
        <w:pBdr>
          <w:top w:val="nil"/>
          <w:left w:val="nil"/>
          <w:bottom w:val="nil"/>
          <w:right w:val="nil"/>
          <w:between w:val="nil"/>
        </w:pBdr>
        <w:tabs>
          <w:tab w:val="left" w:pos="567"/>
          <w:tab w:val="left" w:pos="1230"/>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Bondarenko, S. V. Copyright and Related Rights: Textbook. / S. V. Bondarenko. – Kyiv: Institute of Intellectual Property and Law, 2008. – 288 p.</w:t>
      </w:r>
    </w:p>
    <w:p w14:paraId="109165C3" w14:textId="77777777" w:rsidR="00DE6403" w:rsidRDefault="00000000">
      <w:pPr>
        <w:widowControl w:val="0"/>
        <w:numPr>
          <w:ilvl w:val="0"/>
          <w:numId w:val="5"/>
        </w:numPr>
        <w:pBdr>
          <w:top w:val="nil"/>
          <w:left w:val="nil"/>
          <w:bottom w:val="nil"/>
          <w:right w:val="nil"/>
          <w:between w:val="nil"/>
        </w:pBdr>
        <w:tabs>
          <w:tab w:val="left" w:pos="567"/>
          <w:tab w:val="left" w:pos="1230"/>
        </w:tabs>
        <w:spacing w:after="0" w:line="240" w:lineRule="auto"/>
        <w:jc w:val="both"/>
        <w:rPr>
          <w:rFonts w:ascii="Times New Roman" w:eastAsia="Times New Roman" w:hAnsi="Times New Roman" w:cs="Times New Roman"/>
          <w:color w:val="000000"/>
          <w:sz w:val="28"/>
          <w:szCs w:val="28"/>
        </w:rPr>
      </w:pPr>
      <w:hyperlink r:id="rId29">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w:t>
        </w:r>
      </w:hyperlink>
      <w:r>
        <w:rPr>
          <w:rFonts w:ascii="Times New Roman" w:eastAsia="Times New Roman" w:hAnsi="Times New Roman" w:cs="Times New Roman"/>
          <w:color w:val="000000"/>
          <w:sz w:val="28"/>
          <w:szCs w:val="28"/>
        </w:rPr>
        <w:t xml:space="preserve"> Intellectual Property Management in the Context of Scientific and Technical Development of Ukraine's Economy: Theory, Methodology, Practice. Kyiv: DKS Centre, 2020. 392 p.</w:t>
      </w:r>
    </w:p>
    <w:p w14:paraId="34F993F3"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0">
        <w:r>
          <w:rPr>
            <w:rFonts w:ascii="Times New Roman" w:eastAsia="Times New Roman" w:hAnsi="Times New Roman" w:cs="Times New Roman"/>
            <w:color w:val="000000"/>
            <w:sz w:val="28"/>
            <w:szCs w:val="28"/>
          </w:rPr>
          <w:t>Bratus, G. A.</w:t>
        </w:r>
      </w:hyperlink>
      <w:r>
        <w:rPr>
          <w:rFonts w:ascii="Times New Roman" w:eastAsia="Times New Roman" w:hAnsi="Times New Roman" w:cs="Times New Roman"/>
          <w:color w:val="000000"/>
          <w:sz w:val="28"/>
          <w:szCs w:val="28"/>
        </w:rPr>
        <w:t xml:space="preserve"> Intellectual property management: features of theory and methodology. Effective Economy. No. 8. 2017. (Index Copernicus, etc.). URL: http://www.economy.nayka.com.ua/?op=1&amp;z=8201.</w:t>
      </w:r>
    </w:p>
    <w:p w14:paraId="65ADAE43"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1">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w:t>
        </w:r>
      </w:hyperlink>
      <w:r>
        <w:rPr>
          <w:rFonts w:ascii="Times New Roman" w:eastAsia="Times New Roman" w:hAnsi="Times New Roman" w:cs="Times New Roman"/>
          <w:color w:val="000000"/>
          <w:sz w:val="28"/>
          <w:szCs w:val="28"/>
        </w:rPr>
        <w:t xml:space="preserve"> Strategic directions for the development of intellectual property in the scientific and technical support system of Ukraine. Economic Horizons: quarterly scientific journal. Uman. Pavlo Tychyna State Pedagogical University. 2018. No. 4(7). Pp. 205–213.</w:t>
      </w:r>
    </w:p>
    <w:p w14:paraId="53032A23"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2">
        <w:r>
          <w:rPr>
            <w:rFonts w:ascii="Times New Roman" w:eastAsia="Times New Roman" w:hAnsi="Times New Roman" w:cs="Times New Roman"/>
            <w:color w:val="000000"/>
            <w:sz w:val="28"/>
            <w:szCs w:val="28"/>
          </w:rPr>
          <w:t>Bratus, G. A.</w:t>
        </w:r>
      </w:hyperlink>
      <w:r>
        <w:rPr>
          <w:rFonts w:ascii="Times New Roman" w:eastAsia="Times New Roman" w:hAnsi="Times New Roman" w:cs="Times New Roman"/>
          <w:color w:val="000000"/>
          <w:sz w:val="28"/>
          <w:szCs w:val="28"/>
        </w:rPr>
        <w:t>   A paradigmatic approach to intellectual property management in the system of scientific and technical development. Effective Economy. No. 4. 2018. (Index Copernicus, etc.). URL: http://www.economy.nayka.com.ua/?op=1&amp;z=8211.</w:t>
      </w:r>
    </w:p>
    <w:p w14:paraId="3B746CD6"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3">
        <w:r>
          <w:rPr>
            <w:rFonts w:ascii="Times New Roman" w:eastAsia="Times New Roman" w:hAnsi="Times New Roman" w:cs="Times New Roman"/>
            <w:color w:val="000000"/>
            <w:sz w:val="28"/>
            <w:szCs w:val="28"/>
          </w:rPr>
          <w:t>Bratus G. A.</w:t>
        </w:r>
      </w:hyperlink>
      <w:r>
        <w:rPr>
          <w:rFonts w:ascii="Times New Roman" w:eastAsia="Times New Roman" w:hAnsi="Times New Roman" w:cs="Times New Roman"/>
          <w:color w:val="000000"/>
          <w:sz w:val="28"/>
          <w:szCs w:val="28"/>
        </w:rPr>
        <w:t xml:space="preserve"> Methodology for forecasting the intellectual development of the domestic economy. Effective Economy. No. 8. 2018. (Index Copernicus et al.). URL: http:// http://www.economy.nayka.com.ua/?op=1&amp;z=8305.</w:t>
      </w:r>
    </w:p>
    <w:p w14:paraId="7C802BB3"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4">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w:t>
        </w:r>
      </w:hyperlink>
      <w:r>
        <w:rPr>
          <w:rFonts w:ascii="Times New Roman" w:eastAsia="Times New Roman" w:hAnsi="Times New Roman" w:cs="Times New Roman"/>
          <w:color w:val="000000"/>
          <w:sz w:val="28"/>
          <w:szCs w:val="28"/>
        </w:rPr>
        <w:t xml:space="preserve"> Retrospective of theoretical approaches to the essence and content of the concept of intellectual property. </w:t>
      </w:r>
      <w:hyperlink r:id="rId35">
        <w:r>
          <w:rPr>
            <w:rFonts w:ascii="Times New Roman" w:eastAsia="Times New Roman" w:hAnsi="Times New Roman" w:cs="Times New Roman"/>
            <w:color w:val="000000"/>
            <w:sz w:val="28"/>
            <w:szCs w:val="28"/>
          </w:rPr>
          <w:t>Scientific works of MAUP. Series: Economic Sciences</w:t>
        </w:r>
      </w:hyperlink>
      <w:r>
        <w:rPr>
          <w:rFonts w:ascii="Times New Roman" w:eastAsia="Times New Roman" w:hAnsi="Times New Roman" w:cs="Times New Roman"/>
          <w:color w:val="000000"/>
          <w:sz w:val="28"/>
          <w:szCs w:val="28"/>
        </w:rPr>
        <w:t xml:space="preserve">. Kyiv. Interregional Academy of Personnel Management. </w:t>
      </w:r>
      <w:r>
        <w:rPr>
          <w:rFonts w:ascii="Times New Roman" w:eastAsia="Times New Roman" w:hAnsi="Times New Roman" w:cs="Times New Roman"/>
          <w:color w:val="000000"/>
          <w:sz w:val="28"/>
          <w:szCs w:val="28"/>
        </w:rPr>
        <w:lastRenderedPageBreak/>
        <w:t>2019. Issue 1 (57). P. 27–33.</w:t>
      </w:r>
    </w:p>
    <w:p w14:paraId="5C1969B0"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General features of the theory of intellectual property and its protection. Contemporary issues of economics and law: collection of scientific works. Kyiv: CMU. 2019. Issue 2(10). Pp. 9–16.</w:t>
      </w:r>
    </w:p>
    <w:p w14:paraId="55F861EC"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6">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w:t>
        </w:r>
      </w:hyperlink>
      <w:r>
        <w:rPr>
          <w:rFonts w:ascii="Times New Roman" w:eastAsia="Times New Roman" w:hAnsi="Times New Roman" w:cs="Times New Roman"/>
          <w:color w:val="000000"/>
          <w:sz w:val="28"/>
          <w:szCs w:val="28"/>
        </w:rPr>
        <w:t xml:space="preserve"> Intellectual property in the context of the development of post-industrial society. </w:t>
      </w:r>
      <w:hyperlink r:id="rId37">
        <w:r>
          <w:rPr>
            <w:rFonts w:ascii="Times New Roman" w:eastAsia="Times New Roman" w:hAnsi="Times New Roman" w:cs="Times New Roman"/>
            <w:color w:val="000000"/>
            <w:sz w:val="28"/>
            <w:szCs w:val="28"/>
          </w:rPr>
          <w:t>Business Navigator</w:t>
        </w:r>
      </w:hyperlink>
      <w:r>
        <w:rPr>
          <w:rFonts w:ascii="Times New Roman" w:eastAsia="Times New Roman" w:hAnsi="Times New Roman" w:cs="Times New Roman"/>
          <w:color w:val="000000"/>
          <w:sz w:val="28"/>
          <w:szCs w:val="28"/>
        </w:rPr>
        <w:t>. Kherson: Helvetica Publishing House. 2019. Issue 6.1–1. Pp. 61–66. (Index   Copernicus, etc.).</w:t>
      </w:r>
    </w:p>
    <w:p w14:paraId="34D18489"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38">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w:t>
        </w:r>
      </w:hyperlink>
      <w:r>
        <w:rPr>
          <w:rFonts w:ascii="Times New Roman" w:eastAsia="Times New Roman" w:hAnsi="Times New Roman" w:cs="Times New Roman"/>
          <w:color w:val="000000"/>
          <w:sz w:val="28"/>
          <w:szCs w:val="28"/>
        </w:rPr>
        <w:t xml:space="preserve"> Current state and trends in the development of intellectual property in Ukraine.  </w:t>
      </w:r>
      <w:hyperlink r:id="rId39">
        <w:r>
          <w:rPr>
            <w:rFonts w:ascii="Times New Roman" w:eastAsia="Times New Roman" w:hAnsi="Times New Roman" w:cs="Times New Roman"/>
            <w:color w:val="000000"/>
            <w:sz w:val="28"/>
            <w:szCs w:val="28"/>
          </w:rPr>
          <w:t>Scientific Bulletin of Uzhhorod National University. Series: International Economic Relations and World Economy</w:t>
        </w:r>
      </w:hyperlink>
      <w:r>
        <w:rPr>
          <w:rFonts w:ascii="Times New Roman" w:eastAsia="Times New Roman" w:hAnsi="Times New Roman" w:cs="Times New Roman"/>
          <w:color w:val="000000"/>
          <w:sz w:val="28"/>
          <w:szCs w:val="28"/>
        </w:rPr>
        <w:t>. Uzhhorod. 2019. Issue 28 (1). Pp. 51–56. (Index Copernicus, etc.).</w:t>
      </w:r>
    </w:p>
    <w:p w14:paraId="64D64187"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40">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w:t>
        </w:r>
      </w:hyperlink>
      <w:r>
        <w:rPr>
          <w:rFonts w:ascii="Times New Roman" w:eastAsia="Times New Roman" w:hAnsi="Times New Roman" w:cs="Times New Roman"/>
          <w:color w:val="000000"/>
          <w:sz w:val="28"/>
          <w:szCs w:val="28"/>
        </w:rPr>
        <w:t xml:space="preserve"> Knowledge management as a key structural component of intellectual property development. </w:t>
      </w:r>
      <w:hyperlink r:id="rId41">
        <w:r>
          <w:rPr>
            <w:rFonts w:ascii="Times New Roman" w:eastAsia="Times New Roman" w:hAnsi="Times New Roman" w:cs="Times New Roman"/>
            <w:color w:val="000000"/>
            <w:sz w:val="28"/>
            <w:szCs w:val="28"/>
          </w:rPr>
          <w:t>Scientific Works of the MAUP. Series: Economic Sciences</w:t>
        </w:r>
      </w:hyperlink>
      <w:r>
        <w:rPr>
          <w:rFonts w:ascii="Times New Roman" w:eastAsia="Times New Roman" w:hAnsi="Times New Roman" w:cs="Times New Roman"/>
          <w:color w:val="000000"/>
          <w:sz w:val="28"/>
          <w:szCs w:val="28"/>
        </w:rPr>
        <w:t>. Kyiv. Interregional Academy of Personnel Management, 2019. Issue 2 (58). Pp. 32–39. (0.5 author's sheets).</w:t>
      </w:r>
    </w:p>
    <w:p w14:paraId="0A9CB602"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42">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w:t>
        </w:r>
      </w:hyperlink>
      <w:r>
        <w:rPr>
          <w:rFonts w:ascii="Times New Roman" w:eastAsia="Times New Roman" w:hAnsi="Times New Roman" w:cs="Times New Roman"/>
          <w:color w:val="000000"/>
          <w:sz w:val="28"/>
          <w:szCs w:val="28"/>
        </w:rPr>
        <w:t xml:space="preserve"> The genesis of state regulation of the education system as a priority area of the knowledge economy. </w:t>
      </w:r>
      <w:hyperlink r:id="rId43">
        <w:r>
          <w:rPr>
            <w:rFonts w:ascii="Times New Roman" w:eastAsia="Times New Roman" w:hAnsi="Times New Roman" w:cs="Times New Roman"/>
            <w:color w:val="000000"/>
            <w:sz w:val="28"/>
            <w:szCs w:val="28"/>
          </w:rPr>
          <w:t>Intellect XXI</w:t>
        </w:r>
      </w:hyperlink>
      <w:r>
        <w:rPr>
          <w:rFonts w:ascii="Times New Roman" w:eastAsia="Times New Roman" w:hAnsi="Times New Roman" w:cs="Times New Roman"/>
          <w:color w:val="000000"/>
          <w:sz w:val="28"/>
          <w:szCs w:val="28"/>
        </w:rPr>
        <w:t>. Kyiv. 2019. No. 5. Pp. 30–35. (Index Copernicus et al.).</w:t>
      </w:r>
    </w:p>
    <w:p w14:paraId="38FF15A9"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 A transformational approach to the structural architectonics of intellectual property. Entrepreneurship and Innovation. Kyiv: Helvetica Publishing House. 2019. No. 10. pp. 31–38.</w:t>
      </w:r>
    </w:p>
    <w:p w14:paraId="2CEED14F"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hyperlink r:id="rId44">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w:t>
        </w:r>
      </w:hyperlink>
      <w:r>
        <w:rPr>
          <w:rFonts w:ascii="Times New Roman" w:eastAsia="Times New Roman" w:hAnsi="Times New Roman" w:cs="Times New Roman"/>
          <w:color w:val="000000"/>
          <w:sz w:val="28"/>
          <w:szCs w:val="28"/>
        </w:rPr>
        <w:t xml:space="preserve"> Methodological aspects of commercialisation of intellectual property as a form of entrepreneurial activity in the innovation sphere. </w:t>
      </w:r>
      <w:hyperlink r:id="rId45">
        <w:r>
          <w:rPr>
            <w:rFonts w:ascii="Times New Roman" w:eastAsia="Times New Roman" w:hAnsi="Times New Roman" w:cs="Times New Roman"/>
            <w:color w:val="000000"/>
            <w:sz w:val="28"/>
            <w:szCs w:val="28"/>
          </w:rPr>
          <w:t>University Scientific Notes</w:t>
        </w:r>
      </w:hyperlink>
      <w:r>
        <w:rPr>
          <w:rFonts w:ascii="Times New Roman" w:eastAsia="Times New Roman" w:hAnsi="Times New Roman" w:cs="Times New Roman"/>
          <w:color w:val="000000"/>
          <w:sz w:val="28"/>
          <w:szCs w:val="28"/>
        </w:rPr>
        <w:t xml:space="preserve">. Khmelnytskyi. Published by KHUUP. 2019. No. 4. pp. 149–159. </w:t>
      </w:r>
    </w:p>
    <w:p w14:paraId="60E0802A"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International experience of state regulation and stimulation of intellectual property development. Bulletin of Odessa National University. Series: Economics. Odessa. 2019. Vol. 24. Issue 6. P. 44–49. (Index Copernicus, etc.).</w:t>
      </w:r>
    </w:p>
    <w:p w14:paraId="1FA1BB81"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w:t>
      </w:r>
      <w:proofErr w:type="spellStart"/>
      <w:r>
        <w:rPr>
          <w:rFonts w:ascii="Times New Roman" w:eastAsia="Times New Roman" w:hAnsi="Times New Roman" w:cs="Times New Roman"/>
          <w:color w:val="000000"/>
          <w:sz w:val="28"/>
          <w:szCs w:val="28"/>
        </w:rPr>
        <w:t>Mogilevska</w:t>
      </w:r>
      <w:proofErr w:type="spellEnd"/>
      <w:r>
        <w:rPr>
          <w:rFonts w:ascii="Times New Roman" w:eastAsia="Times New Roman" w:hAnsi="Times New Roman" w:cs="Times New Roman"/>
          <w:color w:val="000000"/>
          <w:sz w:val="28"/>
          <w:szCs w:val="28"/>
        </w:rPr>
        <w:t xml:space="preserve"> O. Yu., Maidan S. V. Intellectual property as a strategic component of business. Contemporary issues of economics and law: collection of scientific works. Kyiv: CMU. 2020. Issue 1(11). Pp. 25–33. </w:t>
      </w:r>
    </w:p>
    <w:p w14:paraId="1AA2FB17"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Organisational mechanism for assessing economic incentives for intellectual property development. Entrepreneurship and Innovation. Helvetica Publishing House. 2020. (11-1). pp. 43–48. </w:t>
      </w:r>
    </w:p>
    <w:p w14:paraId="79874FCF"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G. A. Information and knowledge resources in the structure of intellectual property. Scientific notes of the V. I. Vernadsky Taurida National University. Series: Economics and Management. Kyiv: Helvetica Publishing House. Vol. 31 (70). No. 2. 2020. pp. 45–51. (Index Copernicus, etc.)</w:t>
      </w:r>
      <w:r>
        <w:rPr>
          <w:rFonts w:ascii="Times New Roman" w:eastAsia="Times New Roman" w:hAnsi="Times New Roman" w:cs="Times New Roman"/>
          <w:color w:val="000000"/>
          <w:sz w:val="28"/>
          <w:szCs w:val="28"/>
          <w:highlight w:val="white"/>
        </w:rPr>
        <w:t>.</w:t>
      </w:r>
    </w:p>
    <w:p w14:paraId="570DA9B7"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Conceptual foundations of intellectual property valuation. Black Sea Economic Studies. Odessa. 2020. Issue 52-1. Pp. 65–72. </w:t>
      </w:r>
    </w:p>
    <w:p w14:paraId="4234B283"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H. A. Comprehensive assessment of the level of intellectual development of the domestic economy. State and Regions. Series: Economics and Entrepreneurship. Kherson: Helvetica Publishing House. 2020. No. 2(113). Pp. 39–44. (Index Copernicus et al.). </w:t>
      </w:r>
    </w:p>
    <w:p w14:paraId="7AB12E0B"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Bratus</w:t>
      </w:r>
      <w:proofErr w:type="spellEnd"/>
      <w:r>
        <w:rPr>
          <w:rFonts w:ascii="Times New Roman" w:eastAsia="Times New Roman" w:hAnsi="Times New Roman" w:cs="Times New Roman"/>
          <w:color w:val="000000"/>
          <w:sz w:val="28"/>
          <w:szCs w:val="28"/>
        </w:rPr>
        <w:t xml:space="preserve"> H. </w:t>
      </w:r>
      <w:r>
        <w:rPr>
          <w:rFonts w:ascii="Times New Roman" w:eastAsia="Times New Roman" w:hAnsi="Times New Roman" w:cs="Times New Roman"/>
          <w:color w:val="000000"/>
          <w:sz w:val="28"/>
          <w:szCs w:val="28"/>
          <w:highlight w:val="white"/>
        </w:rPr>
        <w:t xml:space="preserve">Methodological aspects of creating an evaluation model for intellectual property assessment. Economic Herald of State Higher Education Institution Ukrainian State University of Chemical Technology. Dnipro. 1(11). 2020. </w:t>
      </w:r>
      <w:r>
        <w:rPr>
          <w:rFonts w:ascii="Times New Roman" w:eastAsia="Times New Roman" w:hAnsi="Times New Roman" w:cs="Times New Roman"/>
          <w:color w:val="000000"/>
          <w:sz w:val="28"/>
          <w:szCs w:val="28"/>
        </w:rPr>
        <w:t>pp</w:t>
      </w:r>
      <w:r>
        <w:rPr>
          <w:rFonts w:ascii="Times New Roman" w:eastAsia="Times New Roman" w:hAnsi="Times New Roman" w:cs="Times New Roman"/>
          <w:color w:val="000000"/>
          <w:sz w:val="28"/>
          <w:szCs w:val="28"/>
          <w:highlight w:val="white"/>
        </w:rPr>
        <w:t xml:space="preserve">. 35–42. </w:t>
      </w:r>
      <w:r>
        <w:rPr>
          <w:rFonts w:ascii="Times New Roman" w:eastAsia="Times New Roman" w:hAnsi="Times New Roman" w:cs="Times New Roman"/>
          <w:color w:val="000000"/>
          <w:sz w:val="28"/>
          <w:szCs w:val="28"/>
        </w:rPr>
        <w:t>(Index Copernicus et al.)</w:t>
      </w:r>
      <w:r>
        <w:rPr>
          <w:rFonts w:ascii="Times New Roman" w:eastAsia="Times New Roman" w:hAnsi="Times New Roman" w:cs="Times New Roman"/>
          <w:color w:val="000000"/>
          <w:sz w:val="28"/>
          <w:szCs w:val="28"/>
          <w:highlight w:val="white"/>
        </w:rPr>
        <w:t>.</w:t>
      </w:r>
    </w:p>
    <w:p w14:paraId="7A404FC2" w14:textId="77777777" w:rsidR="00DE6403" w:rsidRDefault="00000000">
      <w:pPr>
        <w:widowControl w:val="0"/>
        <w:numPr>
          <w:ilvl w:val="0"/>
          <w:numId w:val="5"/>
        </w:numPr>
        <w:pBdr>
          <w:top w:val="nil"/>
          <w:left w:val="nil"/>
          <w:bottom w:val="nil"/>
          <w:right w:val="nil"/>
          <w:between w:val="nil"/>
        </w:pBdr>
        <w:tabs>
          <w:tab w:val="left" w:pos="567"/>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 A. Issues of forming a fractal model for managing intellectual property objects. Scientific Bulletin of the International Humanitarian University. Series: "Economics and Management." Publishing house "Helvetica." 2020. Issue 42. P. 114–118.</w:t>
      </w:r>
    </w:p>
    <w:p w14:paraId="1040B7BF" w14:textId="77777777" w:rsidR="00DE6403" w:rsidRDefault="00000000">
      <w:pPr>
        <w:widowControl w:val="0"/>
        <w:numPr>
          <w:ilvl w:val="0"/>
          <w:numId w:val="5"/>
        </w:numPr>
        <w:pBdr>
          <w:top w:val="nil"/>
          <w:left w:val="nil"/>
          <w:bottom w:val="nil"/>
          <w:right w:val="nil"/>
          <w:between w:val="nil"/>
        </w:pBdr>
        <w:tabs>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highlight w:val="white"/>
        </w:rPr>
        <w:t>Bratus</w:t>
      </w:r>
      <w:proofErr w:type="spellEnd"/>
      <w:r>
        <w:rPr>
          <w:rFonts w:ascii="Times New Roman" w:eastAsia="Times New Roman" w:hAnsi="Times New Roman" w:cs="Times New Roman"/>
          <w:color w:val="000000"/>
          <w:sz w:val="28"/>
          <w:szCs w:val="28"/>
          <w:highlight w:val="white"/>
        </w:rPr>
        <w:t xml:space="preserve"> G. A., Mazur Yu. V., Kalina I. I. </w:t>
      </w:r>
      <w:hyperlink r:id="rId46">
        <w:r>
          <w:rPr>
            <w:rFonts w:ascii="Times New Roman" w:eastAsia="Times New Roman" w:hAnsi="Times New Roman" w:cs="Times New Roman"/>
            <w:color w:val="000000"/>
            <w:sz w:val="28"/>
            <w:szCs w:val="28"/>
            <w:highlight w:val="white"/>
          </w:rPr>
          <w:t>Conceptualisation of the innovative development of the national economy in the context of European integration</w:t>
        </w:r>
      </w:hyperlink>
      <w:r>
        <w:rPr>
          <w:rFonts w:ascii="Times New Roman" w:eastAsia="Times New Roman" w:hAnsi="Times New Roman" w:cs="Times New Roman"/>
          <w:color w:val="000000"/>
          <w:sz w:val="28"/>
          <w:szCs w:val="28"/>
          <w:highlight w:val="white"/>
        </w:rPr>
        <w:t xml:space="preserve">. </w:t>
      </w:r>
      <w:hyperlink r:id="rId47">
        <w:r>
          <w:rPr>
            <w:rFonts w:ascii="Times New Roman" w:eastAsia="Times New Roman" w:hAnsi="Times New Roman" w:cs="Times New Roman"/>
            <w:color w:val="000000"/>
            <w:sz w:val="28"/>
            <w:szCs w:val="28"/>
            <w:highlight w:val="white"/>
          </w:rPr>
          <w:t>No. 4 (63) (2021): Scientific works of the Interregional Academy of Personnel Management. Economic sciences</w:t>
        </w:r>
      </w:hyperlink>
      <w:r>
        <w:rPr>
          <w:rFonts w:ascii="Times New Roman" w:eastAsia="Times New Roman" w:hAnsi="Times New Roman" w:cs="Times New Roman"/>
          <w:color w:val="000000"/>
          <w:sz w:val="28"/>
          <w:szCs w:val="28"/>
          <w:highlight w:val="white"/>
        </w:rPr>
        <w:t>. DOI:</w:t>
      </w:r>
      <w:hyperlink r:id="rId48">
        <w:r>
          <w:rPr>
            <w:rFonts w:ascii="Times New Roman" w:eastAsia="Times New Roman" w:hAnsi="Times New Roman" w:cs="Times New Roman"/>
            <w:color w:val="000000"/>
            <w:sz w:val="28"/>
            <w:szCs w:val="28"/>
            <w:highlight w:val="white"/>
          </w:rPr>
          <w:t xml:space="preserve"> https://doi.org/10.32689/2523-4536/63-2</w:t>
        </w:r>
      </w:hyperlink>
    </w:p>
    <w:p w14:paraId="1DD5CE04" w14:textId="77777777" w:rsidR="00DE6403" w:rsidRDefault="00000000">
      <w:pPr>
        <w:widowControl w:val="0"/>
        <w:numPr>
          <w:ilvl w:val="0"/>
          <w:numId w:val="5"/>
        </w:numPr>
        <w:pBdr>
          <w:top w:val="nil"/>
          <w:left w:val="nil"/>
          <w:bottom w:val="nil"/>
          <w:right w:val="nil"/>
          <w:between w:val="nil"/>
        </w:pBdr>
        <w:tabs>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xml:space="preserve"> G.A., </w:t>
      </w:r>
      <w:proofErr w:type="spellStart"/>
      <w:r>
        <w:rPr>
          <w:rFonts w:ascii="Times New Roman" w:eastAsia="Times New Roman" w:hAnsi="Times New Roman" w:cs="Times New Roman"/>
          <w:color w:val="000000"/>
          <w:sz w:val="28"/>
          <w:szCs w:val="28"/>
        </w:rPr>
        <w:t>Vasylchak</w:t>
      </w:r>
      <w:proofErr w:type="spellEnd"/>
      <w:r>
        <w:rPr>
          <w:rFonts w:ascii="Times New Roman" w:eastAsia="Times New Roman" w:hAnsi="Times New Roman" w:cs="Times New Roman"/>
          <w:color w:val="000000"/>
          <w:sz w:val="28"/>
          <w:szCs w:val="28"/>
        </w:rPr>
        <w:t xml:space="preserve"> S.V., </w:t>
      </w:r>
      <w:proofErr w:type="spellStart"/>
      <w:r>
        <w:rPr>
          <w:rFonts w:ascii="Times New Roman" w:eastAsia="Times New Roman" w:hAnsi="Times New Roman" w:cs="Times New Roman"/>
          <w:color w:val="000000"/>
          <w:sz w:val="28"/>
          <w:szCs w:val="28"/>
        </w:rPr>
        <w:t>Chervinska</w:t>
      </w:r>
      <w:proofErr w:type="spellEnd"/>
      <w:r>
        <w:rPr>
          <w:rFonts w:ascii="Times New Roman" w:eastAsia="Times New Roman" w:hAnsi="Times New Roman" w:cs="Times New Roman"/>
          <w:color w:val="000000"/>
          <w:sz w:val="28"/>
          <w:szCs w:val="28"/>
        </w:rPr>
        <w:t xml:space="preserve"> L.P. Financing innovative activities and sustainable development of enterprises in regions in the context of digitalisation and the circular economy. Scientific Bulletin of Uzhhorod National University. Publishing House "Helvetica". Issue 56. 2025. P. 125-130.</w:t>
      </w:r>
    </w:p>
    <w:p w14:paraId="2E4D28B3" w14:textId="77777777" w:rsidR="00DE6403" w:rsidRDefault="00000000">
      <w:pPr>
        <w:widowControl w:val="0"/>
        <w:numPr>
          <w:ilvl w:val="0"/>
          <w:numId w:val="5"/>
        </w:numPr>
        <w:pBdr>
          <w:top w:val="nil"/>
          <w:left w:val="nil"/>
          <w:bottom w:val="nil"/>
          <w:right w:val="nil"/>
          <w:between w:val="nil"/>
        </w:pBdr>
        <w:shd w:val="clear" w:color="auto" w:fill="FFFFFF"/>
        <w:tabs>
          <w:tab w:val="left" w:pos="900"/>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Bratus</w:t>
      </w:r>
      <w:proofErr w:type="spellEnd"/>
      <w:r>
        <w:rPr>
          <w:rFonts w:ascii="Times New Roman" w:eastAsia="Times New Roman" w:hAnsi="Times New Roman" w:cs="Times New Roman"/>
          <w:color w:val="000000"/>
          <w:sz w:val="28"/>
          <w:szCs w:val="28"/>
        </w:rPr>
        <w:t>, H. A., Kalina, I. I., Mazur, Y. V. Digital transformation and innovative marketing as key factors in increasing the competitiveness of the trade industry. Scientific Notes of Lviv University of Business and Law. Economic series. Legal series. No. 43. Pp. 349–357. 2024.</w:t>
      </w:r>
      <w:hyperlink r:id="rId49">
        <w:r>
          <w:rPr>
            <w:rFonts w:ascii="Times New Roman" w:eastAsia="Times New Roman" w:hAnsi="Times New Roman" w:cs="Times New Roman"/>
            <w:color w:val="000000"/>
            <w:sz w:val="28"/>
            <w:szCs w:val="28"/>
          </w:rPr>
          <w:t xml:space="preserve"> https://doi.org/10.5281/zenodo.15295109</w:t>
        </w:r>
      </w:hyperlink>
    </w:p>
    <w:p w14:paraId="611F2C2C"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Heim I. </w:t>
      </w:r>
      <w:r>
        <w:rPr>
          <w:rFonts w:ascii="Times New Roman" w:eastAsia="Times New Roman" w:hAnsi="Times New Roman" w:cs="Times New Roman"/>
          <w:i/>
          <w:iCs/>
          <w:color w:val="000000"/>
          <w:sz w:val="28"/>
          <w:szCs w:val="28"/>
        </w:rPr>
        <w:t xml:space="preserve">Intellectual Property Management: Interdisciplinary Knowledge for Business Decision-Making. </w:t>
      </w:r>
      <w:r>
        <w:rPr>
          <w:rFonts w:ascii="Times New Roman" w:eastAsia="Times New Roman" w:hAnsi="Times New Roman" w:cs="Times New Roman"/>
          <w:color w:val="000000"/>
          <w:sz w:val="28"/>
          <w:szCs w:val="28"/>
        </w:rPr>
        <w:t>Cham: Palgrave Macmillan / Springer, 2023. – 248 p.</w:t>
      </w:r>
    </w:p>
    <w:p w14:paraId="03EE8953"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World Intellectual Property Organization (WIPO). </w:t>
      </w:r>
      <w:r>
        <w:rPr>
          <w:rFonts w:ascii="Times New Roman" w:eastAsia="Times New Roman" w:hAnsi="Times New Roman" w:cs="Times New Roman"/>
          <w:i/>
          <w:iCs/>
          <w:color w:val="000000"/>
          <w:sz w:val="28"/>
          <w:szCs w:val="28"/>
        </w:rPr>
        <w:t xml:space="preserve">World Intellectual Property Indicators 2024. </w:t>
      </w:r>
      <w:r>
        <w:rPr>
          <w:rFonts w:ascii="Times New Roman" w:eastAsia="Times New Roman" w:hAnsi="Times New Roman" w:cs="Times New Roman"/>
          <w:color w:val="000000"/>
          <w:sz w:val="28"/>
          <w:szCs w:val="28"/>
        </w:rPr>
        <w:t xml:space="preserve">Geneva: WIPO, 2024. </w:t>
      </w:r>
      <w:proofErr w:type="gramStart"/>
      <w:r>
        <w:rPr>
          <w:rFonts w:ascii="Times New Roman" w:eastAsia="Times New Roman" w:hAnsi="Times New Roman" w:cs="Times New Roman"/>
          <w:color w:val="000000"/>
          <w:sz w:val="28"/>
          <w:szCs w:val="28"/>
        </w:rPr>
        <w:t>URL::</w:t>
      </w:r>
      <w:proofErr w:type="gramEnd"/>
      <w:r>
        <w:fldChar w:fldCharType="begin"/>
      </w:r>
      <w:r>
        <w:instrText>HYPERLINK "https://www.wipo.int" \h</w:instrText>
      </w:r>
      <w:r>
        <w:fldChar w:fldCharType="separate"/>
      </w:r>
      <w:r>
        <w:rPr>
          <w:rFonts w:ascii="Times New Roman" w:eastAsia="Times New Roman" w:hAnsi="Times New Roman" w:cs="Times New Roman"/>
          <w:color w:val="000000"/>
          <w:sz w:val="28"/>
          <w:szCs w:val="28"/>
        </w:rPr>
        <w:t xml:space="preserve"> https://www.wipo.int</w:t>
      </w:r>
      <w:r>
        <w:fldChar w:fldCharType="end"/>
      </w:r>
    </w:p>
    <w:p w14:paraId="7116F9DC"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World Intellectual Property Organisation (WIPO). </w:t>
      </w:r>
      <w:r>
        <w:rPr>
          <w:rFonts w:ascii="Times New Roman" w:eastAsia="Times New Roman" w:hAnsi="Times New Roman" w:cs="Times New Roman"/>
          <w:i/>
          <w:iCs/>
          <w:color w:val="000000"/>
          <w:sz w:val="28"/>
          <w:szCs w:val="28"/>
        </w:rPr>
        <w:t xml:space="preserve">World Intellectual Property Report 2024: Making Innovation Policy Work for Development. </w:t>
      </w:r>
      <w:r>
        <w:rPr>
          <w:rFonts w:ascii="Times New Roman" w:eastAsia="Times New Roman" w:hAnsi="Times New Roman" w:cs="Times New Roman"/>
          <w:color w:val="000000"/>
          <w:sz w:val="28"/>
          <w:szCs w:val="28"/>
        </w:rPr>
        <w:t xml:space="preserve">Geneva: WIPO, 2024 </w:t>
      </w:r>
      <w:proofErr w:type="gramStart"/>
      <w:r>
        <w:rPr>
          <w:rFonts w:ascii="Times New Roman" w:eastAsia="Times New Roman" w:hAnsi="Times New Roman" w:cs="Times New Roman"/>
          <w:color w:val="000000"/>
          <w:sz w:val="28"/>
          <w:szCs w:val="28"/>
        </w:rPr>
        <w:t>URL::</w:t>
      </w:r>
      <w:proofErr w:type="gramEnd"/>
      <w:r>
        <w:fldChar w:fldCharType="begin"/>
      </w:r>
      <w:r>
        <w:instrText>HYPERLINK "https://www.wipo.int/publications" \h</w:instrText>
      </w:r>
      <w:r>
        <w:fldChar w:fldCharType="separate"/>
      </w:r>
      <w:r>
        <w:rPr>
          <w:rFonts w:ascii="Times New Roman" w:eastAsia="Times New Roman" w:hAnsi="Times New Roman" w:cs="Times New Roman"/>
          <w:color w:val="000000"/>
          <w:sz w:val="28"/>
          <w:szCs w:val="28"/>
        </w:rPr>
        <w:t xml:space="preserve"> https://www.wipo.int/publications</w:t>
      </w:r>
      <w:r>
        <w:fldChar w:fldCharType="end"/>
      </w:r>
    </w:p>
    <w:p w14:paraId="197C5C6B"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European Enterprise Network. </w:t>
      </w:r>
      <w:r>
        <w:rPr>
          <w:rFonts w:ascii="Times New Roman" w:eastAsia="Times New Roman" w:hAnsi="Times New Roman" w:cs="Times New Roman"/>
          <w:i/>
          <w:iCs/>
          <w:color w:val="000000"/>
          <w:sz w:val="28"/>
          <w:szCs w:val="28"/>
        </w:rPr>
        <w:t xml:space="preserve">Intellectual Property Handbook for SMEs and Research Organisations. </w:t>
      </w:r>
      <w:r>
        <w:rPr>
          <w:rFonts w:ascii="Times New Roman" w:eastAsia="Times New Roman" w:hAnsi="Times New Roman" w:cs="Times New Roman"/>
          <w:color w:val="000000"/>
          <w:sz w:val="28"/>
          <w:szCs w:val="28"/>
        </w:rPr>
        <w:t xml:space="preserve">Bilbao: EEN Basque, 2024. </w:t>
      </w:r>
      <w:proofErr w:type="gramStart"/>
      <w:r>
        <w:rPr>
          <w:rFonts w:ascii="Times New Roman" w:eastAsia="Times New Roman" w:hAnsi="Times New Roman" w:cs="Times New Roman"/>
          <w:color w:val="000000"/>
          <w:sz w:val="28"/>
          <w:szCs w:val="28"/>
        </w:rPr>
        <w:t>URL::</w:t>
      </w:r>
      <w:proofErr w:type="gramEnd"/>
      <w:r>
        <w:rPr>
          <w:rFonts w:ascii="Times New Roman" w:eastAsia="Times New Roman" w:hAnsi="Times New Roman" w:cs="Times New Roman"/>
          <w:color w:val="000000"/>
          <w:sz w:val="28"/>
          <w:szCs w:val="28"/>
        </w:rPr>
        <w:t xml:space="preserve"> https://eenbasque.net</w:t>
      </w:r>
    </w:p>
    <w:p w14:paraId="52F23323"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World Bank. </w:t>
      </w:r>
      <w:r>
        <w:rPr>
          <w:rFonts w:ascii="Times New Roman" w:eastAsia="Times New Roman" w:hAnsi="Times New Roman" w:cs="Times New Roman"/>
          <w:i/>
          <w:iCs/>
          <w:color w:val="000000"/>
          <w:sz w:val="28"/>
          <w:szCs w:val="28"/>
        </w:rPr>
        <w:t xml:space="preserve">Technology Transfer and Commercialisation Handbook. </w:t>
      </w:r>
      <w:r>
        <w:rPr>
          <w:rFonts w:ascii="Times New Roman" w:eastAsia="Times New Roman" w:hAnsi="Times New Roman" w:cs="Times New Roman"/>
          <w:color w:val="000000"/>
          <w:sz w:val="28"/>
          <w:szCs w:val="28"/>
        </w:rPr>
        <w:t xml:space="preserve">– Washington DC: World Bank, 2023. </w:t>
      </w:r>
      <w:proofErr w:type="gramStart"/>
      <w:r>
        <w:rPr>
          <w:rFonts w:ascii="Times New Roman" w:eastAsia="Times New Roman" w:hAnsi="Times New Roman" w:cs="Times New Roman"/>
          <w:color w:val="000000"/>
          <w:sz w:val="28"/>
          <w:szCs w:val="28"/>
        </w:rPr>
        <w:t>URL::</w:t>
      </w:r>
      <w:proofErr w:type="gramEnd"/>
      <w:hyperlink r:id="rId50">
        <w:r>
          <w:rPr>
            <w:rFonts w:ascii="Times New Roman" w:eastAsia="Times New Roman" w:hAnsi="Times New Roman" w:cs="Times New Roman"/>
            <w:color w:val="000000"/>
            <w:sz w:val="28"/>
            <w:szCs w:val="28"/>
            <w:u w:val="single"/>
          </w:rPr>
          <w:t xml:space="preserve"> https://documents.worldbank.org</w:t>
        </w:r>
      </w:hyperlink>
    </w:p>
    <w:p w14:paraId="30A09D62"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United Nations ESCAP / APCTT. </w:t>
      </w:r>
      <w:r>
        <w:rPr>
          <w:rFonts w:ascii="Times New Roman" w:eastAsia="Times New Roman" w:hAnsi="Times New Roman" w:cs="Times New Roman"/>
          <w:i/>
          <w:iCs/>
          <w:color w:val="000000"/>
          <w:sz w:val="28"/>
          <w:szCs w:val="28"/>
        </w:rPr>
        <w:t xml:space="preserve">Intellectual Property Management and Technology Licensing: Guidelines for Innovation Ecosystems. </w:t>
      </w:r>
      <w:r>
        <w:rPr>
          <w:rFonts w:ascii="Times New Roman" w:eastAsia="Times New Roman" w:hAnsi="Times New Roman" w:cs="Times New Roman"/>
          <w:color w:val="000000"/>
          <w:sz w:val="28"/>
          <w:szCs w:val="28"/>
        </w:rPr>
        <w:t>– Bangkok: UN APCTT, 2022.</w:t>
      </w:r>
    </w:p>
    <w:p w14:paraId="1CC28003"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WIPO TISC Reports 2022–2023. </w:t>
      </w:r>
      <w:r>
        <w:rPr>
          <w:rFonts w:ascii="Times New Roman" w:eastAsia="Times New Roman" w:hAnsi="Times New Roman" w:cs="Times New Roman"/>
          <w:i/>
          <w:iCs/>
          <w:color w:val="000000"/>
          <w:sz w:val="28"/>
          <w:szCs w:val="28"/>
        </w:rPr>
        <w:t xml:space="preserve">Technology and Innovation Support Centres (TISCs) Annual Report. </w:t>
      </w:r>
      <w:r>
        <w:rPr>
          <w:rFonts w:ascii="Times New Roman" w:eastAsia="Times New Roman" w:hAnsi="Times New Roman" w:cs="Times New Roman"/>
          <w:color w:val="000000"/>
          <w:sz w:val="28"/>
          <w:szCs w:val="28"/>
        </w:rPr>
        <w:t>Geneva: WIPO, 2023.</w:t>
      </w:r>
    </w:p>
    <w:p w14:paraId="6CB5AA89"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Videnyev</w:t>
      </w:r>
      <w:proofErr w:type="spellEnd"/>
      <w:r>
        <w:rPr>
          <w:rFonts w:ascii="Times New Roman" w:eastAsia="Times New Roman" w:hAnsi="Times New Roman" w:cs="Times New Roman"/>
          <w:color w:val="000000"/>
          <w:sz w:val="28"/>
          <w:szCs w:val="28"/>
        </w:rPr>
        <w:t xml:space="preserve"> O. I., Knyaz S. V. Intellectual Property Management in Retail Chains. </w:t>
      </w:r>
      <w:r>
        <w:rPr>
          <w:rFonts w:ascii="Times New Roman" w:eastAsia="Times New Roman" w:hAnsi="Times New Roman" w:cs="Times New Roman"/>
          <w:i/>
          <w:iCs/>
          <w:color w:val="000000"/>
          <w:sz w:val="28"/>
          <w:szCs w:val="28"/>
        </w:rPr>
        <w:t>Economy and State.</w:t>
      </w:r>
      <w:r>
        <w:rPr>
          <w:rFonts w:ascii="Times New Roman" w:eastAsia="Times New Roman" w:hAnsi="Times New Roman" w:cs="Times New Roman"/>
          <w:color w:val="000000"/>
          <w:sz w:val="28"/>
          <w:szCs w:val="28"/>
        </w:rPr>
        <w:t xml:space="preserve"> 2023. No. 4. Pp. 45–52.</w:t>
      </w:r>
    </w:p>
    <w:p w14:paraId="105C337F"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Pasemko</w:t>
      </w:r>
      <w:proofErr w:type="spellEnd"/>
      <w:r>
        <w:rPr>
          <w:rFonts w:ascii="Times New Roman" w:eastAsia="Times New Roman" w:hAnsi="Times New Roman" w:cs="Times New Roman"/>
          <w:color w:val="000000"/>
          <w:sz w:val="28"/>
          <w:szCs w:val="28"/>
        </w:rPr>
        <w:t xml:space="preserve"> G. V. Intellectual property and scientific project management in wartime. </w:t>
      </w:r>
      <w:r>
        <w:rPr>
          <w:rFonts w:ascii="Times New Roman" w:eastAsia="Times New Roman" w:hAnsi="Times New Roman" w:cs="Times New Roman"/>
          <w:i/>
          <w:iCs/>
          <w:color w:val="000000"/>
          <w:sz w:val="28"/>
          <w:szCs w:val="28"/>
        </w:rPr>
        <w:t>Economic Space.</w:t>
      </w:r>
      <w:r>
        <w:rPr>
          <w:rFonts w:ascii="Times New Roman" w:eastAsia="Times New Roman" w:hAnsi="Times New Roman" w:cs="Times New Roman"/>
          <w:color w:val="000000"/>
          <w:sz w:val="28"/>
          <w:szCs w:val="28"/>
        </w:rPr>
        <w:t xml:space="preserve"> 2025. No. 184. pp. 12–21.</w:t>
      </w:r>
    </w:p>
    <w:p w14:paraId="3C304E01"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Elgar E. (ed.). </w:t>
      </w:r>
      <w:r>
        <w:rPr>
          <w:rFonts w:ascii="Times New Roman" w:eastAsia="Times New Roman" w:hAnsi="Times New Roman" w:cs="Times New Roman"/>
          <w:i/>
          <w:iCs/>
          <w:color w:val="000000"/>
          <w:sz w:val="28"/>
          <w:szCs w:val="28"/>
        </w:rPr>
        <w:t xml:space="preserve">Research Handbook on Intellectual Property and Technology </w:t>
      </w:r>
      <w:r>
        <w:rPr>
          <w:rFonts w:ascii="Times New Roman" w:eastAsia="Times New Roman" w:hAnsi="Times New Roman" w:cs="Times New Roman"/>
          <w:i/>
          <w:iCs/>
          <w:color w:val="000000"/>
          <w:sz w:val="28"/>
          <w:szCs w:val="28"/>
        </w:rPr>
        <w:lastRenderedPageBreak/>
        <w:t xml:space="preserve">Transfer. </w:t>
      </w:r>
      <w:r>
        <w:rPr>
          <w:rFonts w:ascii="Times New Roman" w:eastAsia="Times New Roman" w:hAnsi="Times New Roman" w:cs="Times New Roman"/>
          <w:color w:val="000000"/>
          <w:sz w:val="28"/>
          <w:szCs w:val="28"/>
        </w:rPr>
        <w:t>– Cheltenham: Edward Elgar Publishing, 2021. – 384 p.</w:t>
      </w:r>
    </w:p>
    <w:p w14:paraId="242D3F0D" w14:textId="77777777" w:rsidR="00DE6403"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OUP (ed.). </w:t>
      </w:r>
      <w:r>
        <w:rPr>
          <w:rFonts w:ascii="Times New Roman" w:eastAsia="Times New Roman" w:hAnsi="Times New Roman" w:cs="Times New Roman"/>
          <w:i/>
          <w:iCs/>
          <w:color w:val="000000"/>
          <w:sz w:val="28"/>
          <w:szCs w:val="28"/>
        </w:rPr>
        <w:t xml:space="preserve">Handbook of Intellectual Property Research: Lenses, Methods and Perspectives. </w:t>
      </w:r>
      <w:r>
        <w:rPr>
          <w:rFonts w:ascii="Times New Roman" w:eastAsia="Times New Roman" w:hAnsi="Times New Roman" w:cs="Times New Roman"/>
          <w:color w:val="000000"/>
          <w:sz w:val="28"/>
          <w:szCs w:val="28"/>
        </w:rPr>
        <w:t>Oxford: Oxford University Press, 2021. 420 p.</w:t>
      </w:r>
    </w:p>
    <w:sectPr w:rsidR="00DE6403">
      <w:pgSz w:w="11900" w:h="16840"/>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9E92658B-4FB9-4C66-9034-8A213C45C2E7}"/>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A1EEF7C5-EC02-40E4-9F55-AC90CA8D705C}"/>
    <w:embedBold r:id="rId3" w:fontKey="{E258CA17-69FA-4AFA-B6C3-949F4198433C}"/>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4" w:fontKey="{080C32A2-8BA6-4471-97AD-3131EA53741C}"/>
  </w:font>
  <w:font w:name="Calibri Light">
    <w:panose1 w:val="020F0302020204030204"/>
    <w:charset w:val="CC"/>
    <w:family w:val="swiss"/>
    <w:pitch w:val="variable"/>
    <w:sig w:usb0="E4002EFF" w:usb1="C200247B" w:usb2="00000009" w:usb3="00000000" w:csb0="000001FF" w:csb1="00000000"/>
    <w:embedRegular r:id="rId5" w:fontKey="{CC715F9D-825E-4EC9-80C3-E494C1612897}"/>
  </w:font>
  <w:font w:name="Georgia">
    <w:panose1 w:val="02040502050405020303"/>
    <w:charset w:val="CC"/>
    <w:family w:val="roman"/>
    <w:pitch w:val="variable"/>
    <w:sig w:usb0="00000287" w:usb1="00000000" w:usb2="00000000" w:usb3="00000000" w:csb0="0000009F" w:csb1="00000000"/>
    <w:embedItalic r:id="rId6" w:fontKey="{23C482F4-3E3E-49EA-A33D-C53778D79A3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21279"/>
    <w:multiLevelType w:val="multilevel"/>
    <w:tmpl w:val="AF5609D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2CF97B62"/>
    <w:multiLevelType w:val="multilevel"/>
    <w:tmpl w:val="4900D3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C563D5E"/>
    <w:multiLevelType w:val="multilevel"/>
    <w:tmpl w:val="E8DA86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F993669"/>
    <w:multiLevelType w:val="multilevel"/>
    <w:tmpl w:val="1A2206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A17C25"/>
    <w:multiLevelType w:val="multilevel"/>
    <w:tmpl w:val="F96064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04307397">
    <w:abstractNumId w:val="0"/>
  </w:num>
  <w:num w:numId="2" w16cid:durableId="1462384812">
    <w:abstractNumId w:val="3"/>
  </w:num>
  <w:num w:numId="3" w16cid:durableId="726538352">
    <w:abstractNumId w:val="4"/>
  </w:num>
  <w:num w:numId="4" w16cid:durableId="1334793621">
    <w:abstractNumId w:val="1"/>
  </w:num>
  <w:num w:numId="5" w16cid:durableId="21349805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403"/>
    <w:rsid w:val="00060D5F"/>
    <w:rsid w:val="00471D99"/>
    <w:rsid w:val="00DE6403"/>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C0D5C"/>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ru-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line="240" w:lineRule="auto"/>
      <w:outlineLvl w:val="0"/>
    </w:pPr>
    <w:rPr>
      <w:rFonts w:ascii="Arial" w:eastAsia="Arial" w:hAnsi="Arial" w:cs="Arial"/>
      <w:b/>
      <w:bCs/>
      <w:sz w:val="32"/>
      <w:szCs w:val="32"/>
    </w:rPr>
  </w:style>
  <w:style w:type="paragraph" w:styleId="2">
    <w:name w:val="heading 2"/>
    <w:basedOn w:val="a"/>
    <w:next w:val="a"/>
    <w:uiPriority w:val="9"/>
    <w:unhideWhenUsed/>
    <w:qFormat/>
    <w:pPr>
      <w:keepNext/>
      <w:keepLines/>
      <w:spacing w:before="40" w:after="0"/>
      <w:outlineLvl w:val="1"/>
    </w:pPr>
    <w:rPr>
      <w:color w:val="2E75B5"/>
      <w:sz w:val="26"/>
      <w:szCs w:val="2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customStyle="1" w:styleId="a4">
    <w:name w:val="Подпись к картинке_"/>
    <w:basedOn w:val="a0"/>
    <w:link w:val="a5"/>
    <w:rsid w:val="00F9507A"/>
    <w:rPr>
      <w:rFonts w:ascii="Times New Roman" w:eastAsia="Times New Roman" w:hAnsi="Times New Roman" w:cs="Times New Roman"/>
      <w:shd w:val="clear" w:color="auto" w:fill="FFFFFF"/>
    </w:rPr>
  </w:style>
  <w:style w:type="character" w:customStyle="1" w:styleId="a6">
    <w:name w:val="Основной текст_"/>
    <w:basedOn w:val="a0"/>
    <w:link w:val="10"/>
    <w:rsid w:val="00F9507A"/>
    <w:rPr>
      <w:rFonts w:ascii="Times New Roman" w:eastAsia="Times New Roman" w:hAnsi="Times New Roman" w:cs="Times New Roman"/>
      <w:shd w:val="clear" w:color="auto" w:fill="FFFFFF"/>
    </w:rPr>
  </w:style>
  <w:style w:type="paragraph" w:customStyle="1" w:styleId="a5">
    <w:name w:val="Подпись к картинке"/>
    <w:link w:val="a4"/>
    <w:rsid w:val="00F9507A"/>
    <w:pPr>
      <w:widowControl w:val="0"/>
      <w:shd w:val="clear" w:color="auto" w:fill="FFFFFF"/>
      <w:spacing w:after="0" w:line="235" w:lineRule="auto"/>
      <w:ind w:firstLine="80"/>
    </w:pPr>
    <w:rPr>
      <w:rFonts w:ascii="Times New Roman" w:eastAsia="Times New Roman" w:hAnsi="Times New Roman" w:cs="Times New Roman"/>
    </w:rPr>
  </w:style>
  <w:style w:type="paragraph" w:customStyle="1" w:styleId="10">
    <w:name w:val="Основной текст1"/>
    <w:link w:val="a6"/>
    <w:rsid w:val="00F9507A"/>
    <w:pPr>
      <w:widowControl w:val="0"/>
      <w:shd w:val="clear" w:color="auto" w:fill="FFFFFF"/>
      <w:spacing w:after="0" w:line="240" w:lineRule="auto"/>
    </w:pPr>
    <w:rPr>
      <w:rFonts w:ascii="Times New Roman" w:eastAsia="Times New Roman" w:hAnsi="Times New Roman" w:cs="Times New Roman"/>
    </w:rPr>
  </w:style>
  <w:style w:type="paragraph" w:styleId="a7">
    <w:name w:val="footer"/>
    <w:link w:val="a8"/>
    <w:uiPriority w:val="99"/>
    <w:unhideWhenUsed/>
    <w:rsid w:val="00F9507A"/>
    <w:pPr>
      <w:widowControl w:val="0"/>
      <w:tabs>
        <w:tab w:val="center" w:pos="4819"/>
        <w:tab w:val="right" w:pos="9639"/>
      </w:tabs>
      <w:spacing w:after="0" w:line="240" w:lineRule="auto"/>
    </w:pPr>
    <w:rPr>
      <w:rFonts w:ascii="Courier New" w:eastAsia="Courier New" w:hAnsi="Courier New" w:cs="Courier New"/>
      <w:color w:val="000000"/>
      <w:sz w:val="24"/>
      <w:szCs w:val="24"/>
      <w:lang w:eastAsia="uk-UA" w:bidi="uk-UA"/>
    </w:rPr>
  </w:style>
  <w:style w:type="character" w:customStyle="1" w:styleId="a8">
    <w:name w:val="Нижний колонтитул Знак"/>
    <w:basedOn w:val="a0"/>
    <w:link w:val="a7"/>
    <w:uiPriority w:val="99"/>
    <w:rsid w:val="00F9507A"/>
    <w:rPr>
      <w:rFonts w:ascii="Courier New" w:eastAsia="Courier New" w:hAnsi="Courier New" w:cs="Courier New"/>
      <w:color w:val="000000"/>
      <w:sz w:val="24"/>
      <w:szCs w:val="24"/>
      <w:lang w:eastAsia="uk-UA" w:bidi="uk-UA"/>
    </w:rPr>
  </w:style>
  <w:style w:type="paragraph" w:styleId="a9">
    <w:name w:val="List Paragraph"/>
    <w:uiPriority w:val="34"/>
    <w:qFormat/>
    <w:rsid w:val="00CA669C"/>
    <w:pPr>
      <w:ind w:left="720"/>
      <w:contextualSpacing/>
    </w:pPr>
  </w:style>
  <w:style w:type="paragraph" w:customStyle="1" w:styleId="Standard">
    <w:name w:val="Standard"/>
    <w:qFormat/>
    <w:rsid w:val="006A6B16"/>
    <w:pPr>
      <w:suppressAutoHyphens/>
      <w:autoSpaceDN w:val="0"/>
      <w:spacing w:after="0" w:line="240" w:lineRule="auto"/>
    </w:pPr>
    <w:rPr>
      <w:rFonts w:ascii="Times New Roman" w:eastAsia="Times New Roman" w:hAnsi="Times New Roman" w:cs="Times New Roman"/>
      <w:kern w:val="2"/>
      <w:sz w:val="24"/>
      <w:szCs w:val="24"/>
      <w:lang w:val="en-US" w:eastAsia="zh-CN"/>
    </w:rPr>
  </w:style>
  <w:style w:type="character" w:styleId="aa">
    <w:name w:val="Hyperlink"/>
    <w:basedOn w:val="a0"/>
    <w:uiPriority w:val="99"/>
    <w:unhideWhenUsed/>
    <w:rsid w:val="007E1003"/>
    <w:rPr>
      <w:color w:val="0563C1" w:themeColor="hyperlink"/>
      <w:u w:val="single"/>
    </w:rPr>
  </w:style>
  <w:style w:type="paragraph" w:customStyle="1" w:styleId="Default">
    <w:name w:val="Default"/>
    <w:qFormat/>
    <w:rsid w:val="006B442A"/>
    <w:pPr>
      <w:autoSpaceDE w:val="0"/>
      <w:autoSpaceDN w:val="0"/>
      <w:adjustRightInd w:val="0"/>
      <w:spacing w:after="0" w:line="240" w:lineRule="auto"/>
    </w:pPr>
    <w:rPr>
      <w:rFonts w:eastAsia="Times New Roman"/>
      <w:color w:val="000000"/>
      <w:sz w:val="24"/>
      <w:szCs w:val="24"/>
      <w:lang w:val="ru-RU" w:eastAsia="ru-RU"/>
    </w:rPr>
  </w:style>
  <w:style w:type="character" w:styleId="ab">
    <w:name w:val="FollowedHyperlink"/>
    <w:basedOn w:val="a0"/>
    <w:uiPriority w:val="99"/>
    <w:semiHidden/>
    <w:unhideWhenUsed/>
    <w:rsid w:val="005452F4"/>
    <w:rPr>
      <w:color w:val="954F72" w:themeColor="followedHyperlink"/>
      <w:u w:val="single"/>
    </w:rPr>
  </w:style>
  <w:style w:type="table" w:styleId="ac">
    <w:name w:val="Table Grid"/>
    <w:basedOn w:val="a1"/>
    <w:uiPriority w:val="39"/>
    <w:rsid w:val="008A4C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link w:val="ae"/>
    <w:uiPriority w:val="99"/>
    <w:unhideWhenUsed/>
    <w:rsid w:val="00085268"/>
    <w:pPr>
      <w:tabs>
        <w:tab w:val="center" w:pos="4819"/>
        <w:tab w:val="right" w:pos="9639"/>
      </w:tabs>
      <w:spacing w:after="0" w:line="240" w:lineRule="auto"/>
    </w:pPr>
  </w:style>
  <w:style w:type="character" w:customStyle="1" w:styleId="ae">
    <w:name w:val="Верхний колонтитул Знак"/>
    <w:basedOn w:val="a0"/>
    <w:link w:val="ad"/>
    <w:uiPriority w:val="99"/>
    <w:rsid w:val="00085268"/>
  </w:style>
  <w:style w:type="character" w:customStyle="1" w:styleId="11">
    <w:name w:val="Незакрита згадка1"/>
    <w:basedOn w:val="a0"/>
    <w:uiPriority w:val="99"/>
    <w:semiHidden/>
    <w:unhideWhenUsed/>
    <w:rsid w:val="00085268"/>
    <w:rPr>
      <w:color w:val="605E5C"/>
      <w:shd w:val="clear" w:color="auto" w:fill="E1DFDD"/>
    </w:rPr>
  </w:style>
  <w:style w:type="paragraph" w:styleId="af">
    <w:name w:val="Balloon Text"/>
    <w:link w:val="af0"/>
    <w:uiPriority w:val="99"/>
    <w:semiHidden/>
    <w:unhideWhenUsed/>
    <w:rsid w:val="00F53F0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53F04"/>
    <w:rPr>
      <w:rFonts w:ascii="Tahoma" w:hAnsi="Tahoma" w:cs="Tahoma"/>
      <w:sz w:val="16"/>
      <w:szCs w:val="16"/>
    </w:rPr>
  </w:style>
  <w:style w:type="character" w:customStyle="1" w:styleId="12">
    <w:name w:val="Заголовок 1 Знак"/>
    <w:basedOn w:val="a0"/>
    <w:uiPriority w:val="9"/>
    <w:rsid w:val="00161C6B"/>
    <w:rPr>
      <w:rFonts w:ascii="Arial" w:eastAsia="Times New Roman" w:hAnsi="Arial" w:cs="Arial"/>
      <w:b/>
      <w:bCs/>
      <w:kern w:val="32"/>
      <w:sz w:val="32"/>
      <w:szCs w:val="32"/>
      <w:lang w:val="ru-RU" w:eastAsia="ru-RU"/>
    </w:rPr>
  </w:style>
  <w:style w:type="paragraph" w:styleId="af1">
    <w:name w:val="Normal (Web)"/>
    <w:uiPriority w:val="99"/>
    <w:qFormat/>
    <w:rsid w:val="006A229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2">
    <w:name w:val="Strong"/>
    <w:basedOn w:val="a0"/>
    <w:uiPriority w:val="22"/>
    <w:qFormat/>
    <w:rsid w:val="008A1740"/>
    <w:rPr>
      <w:b/>
      <w:bCs/>
    </w:rPr>
  </w:style>
  <w:style w:type="character" w:styleId="af3">
    <w:name w:val="Emphasis"/>
    <w:basedOn w:val="a0"/>
    <w:uiPriority w:val="20"/>
    <w:qFormat/>
    <w:rsid w:val="008A1740"/>
    <w:rPr>
      <w:i/>
      <w:iCs/>
    </w:rPr>
  </w:style>
  <w:style w:type="character" w:customStyle="1" w:styleId="20">
    <w:name w:val="Заголовок 2 Знак"/>
    <w:basedOn w:val="a0"/>
    <w:uiPriority w:val="9"/>
    <w:semiHidden/>
    <w:rsid w:val="00617B3F"/>
    <w:rPr>
      <w:rFonts w:asciiTheme="majorHAnsi" w:eastAsiaTheme="majorEastAsia" w:hAnsiTheme="majorHAnsi" w:cstheme="majorBidi"/>
      <w:color w:val="2E74B5" w:themeColor="accent1" w:themeShade="BF"/>
      <w:sz w:val="26"/>
      <w:szCs w:val="26"/>
    </w:rPr>
  </w:style>
  <w:style w:type="paragraph" w:styleId="af4">
    <w:name w:val="No Spacing"/>
    <w:uiPriority w:val="1"/>
    <w:qFormat/>
    <w:rsid w:val="00DF35C1"/>
    <w:pPr>
      <w:spacing w:after="0" w:line="240" w:lineRule="auto"/>
    </w:pPr>
    <w:rPr>
      <w:kern w:val="2"/>
      <w:sz w:val="24"/>
      <w:szCs w:val="24"/>
      <w:lang w:val="en-US"/>
    </w:rPr>
  </w:style>
  <w:style w:type="character" w:customStyle="1" w:styleId="ng-star-inserted">
    <w:name w:val="ng-star-inserted"/>
    <w:basedOn w:val="a0"/>
    <w:rsid w:val="00DF35C1"/>
  </w:style>
  <w:style w:type="paragraph" w:customStyle="1" w:styleId="af5">
    <w:name w:val="Вміст таблиці"/>
    <w:qFormat/>
    <w:rsid w:val="007540D7"/>
    <w:pPr>
      <w:widowControl w:val="0"/>
      <w:suppressLineNumbers/>
      <w:suppressAutoHyphens/>
      <w:spacing w:after="0" w:line="240" w:lineRule="auto"/>
    </w:pPr>
    <w:rPr>
      <w:rFonts w:ascii="Times New Roman" w:eastAsia="Times New Roman" w:hAnsi="Times New Roman" w:cs="Times New Roman"/>
      <w:sz w:val="20"/>
      <w:szCs w:val="20"/>
      <w:lang w:val="ru-RU" w:eastAsia="ru-RU"/>
    </w:rPr>
  </w:style>
  <w:style w:type="paragraph" w:styleId="af6">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15" w:type="dxa"/>
        <w:left w:w="15" w:type="dxa"/>
        <w:bottom w:w="15" w:type="dxa"/>
        <w:right w:w="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55" w:type="dxa"/>
        <w:left w:w="55" w:type="dxa"/>
        <w:bottom w:w="55" w:type="dxa"/>
        <w:right w:w="55" w:type="dxa"/>
      </w:tblCellMar>
    </w:tblPr>
  </w:style>
  <w:style w:type="table" w:customStyle="1" w:styleId="afd">
    <w:basedOn w:val="TableNormal"/>
    <w:tblPr>
      <w:tblStyleRowBandSize w:val="1"/>
      <w:tblStyleColBandSize w:val="1"/>
      <w:tblCellMar>
        <w:top w:w="0" w:type="dxa"/>
        <w:left w:w="0" w:type="dxa"/>
        <w:bottom w:w="0" w:type="dxa"/>
        <w:right w:w="0"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zakon.rada.gov.ua/laws/show/995_583" TargetMode="External"/><Relationship Id="rId18" Type="http://schemas.openxmlformats.org/officeDocument/2006/relationships/hyperlink" Target="http://zakon.rada.gov.ua/laws/show/995_770" TargetMode="External"/><Relationship Id="rId26" Type="http://schemas.openxmlformats.org/officeDocument/2006/relationships/hyperlink" Target="http://zakon.rada.gov.ua/laws/show/3689-12" TargetMode="External"/><Relationship Id="rId39"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8850:%D0%9C%D1%96%D0%B6%D0%BD.%D0%B5%D0%BA%D0%BE%D0%BD.%D0%B2%D1%96%D0%B4%D0%BD." TargetMode="External"/><Relationship Id="rId21" Type="http://schemas.openxmlformats.org/officeDocument/2006/relationships/hyperlink" Target="http://zakon.rada.gov.ua/laws/show/995_769" TargetMode="External"/><Relationship Id="rId34"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2"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7" Type="http://schemas.openxmlformats.org/officeDocument/2006/relationships/hyperlink" Target="https://journals.maup.com.ua/index.php/economics/issue/view/175" TargetMode="External"/><Relationship Id="rId50" Type="http://schemas.openxmlformats.org/officeDocument/2006/relationships/hyperlink" Target="https://documents.worldbank.org" TargetMode="External"/><Relationship Id="rId7" Type="http://schemas.openxmlformats.org/officeDocument/2006/relationships/hyperlink" Target="https://scholar.google.com.ua/citations?%20user=NzNa_2EAAAAJ&amp;hl=uk" TargetMode="External"/><Relationship Id="rId2" Type="http://schemas.openxmlformats.org/officeDocument/2006/relationships/numbering" Target="numbering.xml"/><Relationship Id="rId16" Type="http://schemas.openxmlformats.org/officeDocument/2006/relationships/hyperlink" Target="http://zakon.rada.gov.ua/laws/show/995_051" TargetMode="External"/><Relationship Id="rId29"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11" Type="http://schemas.openxmlformats.org/officeDocument/2006/relationships/hyperlink" Target="http://zakon.rada.gov.ua/laws/show/995_133" TargetMode="External"/><Relationship Id="rId24" Type="http://schemas.openxmlformats.org/officeDocument/2006/relationships/hyperlink" Target="http://zakon.rada.gov.ua/laws/show/3687-12" TargetMode="External"/><Relationship Id="rId32"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37"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24319" TargetMode="External"/><Relationship Id="rId40"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5"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23990" TargetMode="External"/><Relationship Id="rId5" Type="http://schemas.openxmlformats.org/officeDocument/2006/relationships/webSettings" Target="webSettings.xml"/><Relationship Id="rId15" Type="http://schemas.openxmlformats.org/officeDocument/2006/relationships/hyperlink" Target="http://zakon.rada.gov.ua/laws/show/995_h54" TargetMode="External"/><Relationship Id="rId23" Type="http://schemas.openxmlformats.org/officeDocument/2006/relationships/hyperlink" Target="http://zakon.rada.gov.ua/laws/show/436-15" TargetMode="External"/><Relationship Id="rId28" Type="http://schemas.openxmlformats.org/officeDocument/2006/relationships/hyperlink" Target="http://zakon.rada.gov.ua/laws/show/621/97-%D0%B2%D1%80" TargetMode="External"/><Relationship Id="rId36"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9" Type="http://schemas.openxmlformats.org/officeDocument/2006/relationships/hyperlink" Target="https://doi.org/10.5281/zenodo.15295109" TargetMode="External"/><Relationship Id="rId10" Type="http://schemas.openxmlformats.org/officeDocument/2006/relationships/hyperlink" Target="http://zakon.rada.gov.ua/laws/show/995_132" TargetMode="External"/><Relationship Id="rId19" Type="http://schemas.openxmlformats.org/officeDocument/2006/relationships/hyperlink" Target="http://zakon.rada.gov.ua/laws/show/995_763" TargetMode="External"/><Relationship Id="rId31"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4"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hern.maup.com.ua/wp-content/uploads/2024/02/2024_polozhenceva-k.l.-portfolio-maup-1.pdf" TargetMode="External"/><Relationship Id="rId14" Type="http://schemas.openxmlformats.org/officeDocument/2006/relationships/hyperlink" Target="http://zakon.rada.gov.ua/laws/show/995_066" TargetMode="External"/><Relationship Id="rId22" Type="http://schemas.openxmlformats.org/officeDocument/2006/relationships/hyperlink" Target="http://zakon.rada.gov.ua/laws/show/435-15" TargetMode="External"/><Relationship Id="rId27" Type="http://schemas.openxmlformats.org/officeDocument/2006/relationships/hyperlink" Target="http://zakon.rada.gov.ua/laws/show/752-14" TargetMode="External"/><Relationship Id="rId30"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35"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72223:%D0%95%D0%BA%D0%BE%D0%BD." TargetMode="External"/><Relationship Id="rId43"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100599" TargetMode="External"/><Relationship Id="rId48" Type="http://schemas.openxmlformats.org/officeDocument/2006/relationships/hyperlink" Target="https://doi.org/10.32689/2523-4536/63-2" TargetMode="External"/><Relationship Id="rId8" Type="http://schemas.openxmlformats.org/officeDocument/2006/relationships/hyperlink" Target="https://www.scopus.com/authid/detail.uri?%20authorId=36069852900"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zakon.rada.gov.ua/laws/show/995_134" TargetMode="External"/><Relationship Id="rId17" Type="http://schemas.openxmlformats.org/officeDocument/2006/relationships/hyperlink" Target="http://zakon.rada.gov.ua/laws/show/995_052" TargetMode="External"/><Relationship Id="rId25" Type="http://schemas.openxmlformats.org/officeDocument/2006/relationships/hyperlink" Target="http://zakon.rada.gov.ua/laws/show/3688-12" TargetMode="External"/><Relationship Id="rId33"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38" Type="http://schemas.openxmlformats.org/officeDocument/2006/relationships/hyperlink" Target="http://www.irbis-nbuv.gov.ua/cgi-bin/irbis_nbuv/cgiirbis_64.exe?Z21ID=&amp;I21DBN=UJRN&amp;P21DBN=UJRN&amp;S21STN=1&amp;S21REF=10&amp;S21FMT=fullwebr&amp;C21COM=S&amp;S21CNR=20&amp;S21P01=0&amp;S21P02=0&amp;S21P03=A=&amp;S21COLORTERMS=1&amp;S21STR=%D0%91%D1%80%D0%B0%D1%82%D1%83%D1%81%D1%8C%20%D0%93$" TargetMode="External"/><Relationship Id="rId46" Type="http://schemas.openxmlformats.org/officeDocument/2006/relationships/hyperlink" Target="http://journals.maup.com.ua/index.php/economics/article/view/1176" TargetMode="External"/><Relationship Id="rId20" Type="http://schemas.openxmlformats.org/officeDocument/2006/relationships/hyperlink" Target="http://zakon.rada.gov.ua/laws/show/995_124" TargetMode="External"/><Relationship Id="rId41"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72223:%D0%95%D0%BA%D0%BE%D0%BD." TargetMode="External"/><Relationship Id="rId1" Type="http://schemas.openxmlformats.org/officeDocument/2006/relationships/customXml" Target="../customXml/item1.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3b0lf/fLjLhhuiZSKN6grku/vw==">CgMxLjAyD2lkLm0yb3Z5ZDI3NzBkeDIPaWQuY3h1ZjRtZ2YwYThhMg5oLnJxczYxbndhbGN4ejgAciExTnQyUzRKVDBZVEZlbVhFS0pRcW1TYWpZYXhod2ZDY0Y=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5652</Words>
  <Characters>32218</Characters>
  <Application>Microsoft Office Word</Application>
  <DocSecurity>0</DocSecurity>
  <Lines>268</Lines>
  <Paragraphs>75</Paragraphs>
  <ScaleCrop>false</ScaleCrop>
  <Company/>
  <LinksUpToDate>false</LinksUpToDate>
  <CharactersWithSpaces>37795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Kateryna Polozhentseva</cp:lastModifiedBy>
  <cp:revision>2</cp:revision>
  <dcterms:created xsi:type="dcterms:W3CDTF">2025-12-01T07:23:00Z</dcterms:created>
  <dcterms:modified xsi:type="dcterms:W3CDTF">2026-02-17T23:10:00Z</dcterms:modified>
</cp:coreProperties>
</file>