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95E87" w14:textId="77777777" w:rsidR="003E10B7" w:rsidRDefault="00000000">
      <w:pPr>
        <w:widowControl w:val="0"/>
        <w:numPr>
          <w:ilvl w:val="0"/>
          <w:numId w:val="1"/>
        </w:num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PJSC “Higher Educational Institution </w:t>
      </w:r>
    </w:p>
    <w:p w14:paraId="627C47FE" w14:textId="77777777" w:rsidR="003E10B7" w:rsidRDefault="00000000">
      <w:pPr>
        <w:widowControl w:val="0"/>
        <w:numPr>
          <w:ilvl w:val="0"/>
          <w:numId w:val="1"/>
        </w:num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“INTERREGIONAL ACADEMY OF PERSONNEL MANAGEMENT”</w:t>
      </w:r>
    </w:p>
    <w:p w14:paraId="54E2CB24" w14:textId="77777777" w:rsidR="003E10B7" w:rsidRDefault="003E10B7">
      <w:pPr>
        <w:widowControl w:val="0"/>
        <w:numPr>
          <w:ilvl w:val="0"/>
          <w:numId w:val="1"/>
        </w:numPr>
        <w:spacing w:after="0" w:line="240" w:lineRule="auto"/>
        <w:rPr>
          <w:rFonts w:ascii="Times New Roman" w:eastAsia="Times New Roman" w:hAnsi="Times New Roman" w:cs="Times New Roman"/>
          <w:sz w:val="28"/>
          <w:szCs w:val="28"/>
        </w:rPr>
      </w:pPr>
    </w:p>
    <w:p w14:paraId="1B980530" w14:textId="77777777" w:rsidR="003E10B7" w:rsidRDefault="003E10B7">
      <w:pPr>
        <w:widowControl w:val="0"/>
        <w:spacing w:after="0" w:line="240" w:lineRule="auto"/>
        <w:rPr>
          <w:rFonts w:ascii="Times New Roman" w:eastAsia="Times New Roman" w:hAnsi="Times New Roman" w:cs="Times New Roman"/>
          <w:sz w:val="28"/>
          <w:szCs w:val="28"/>
        </w:rPr>
      </w:pPr>
    </w:p>
    <w:p w14:paraId="320BC580"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6172543E" wp14:editId="7A16AC08">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6"/>
                    <a:srcRect/>
                    <a:stretch>
                      <a:fillRect/>
                    </a:stretch>
                  </pic:blipFill>
                  <pic:spPr>
                    <a:xfrm>
                      <a:off x="0" y="0"/>
                      <a:ext cx="688975" cy="815975"/>
                    </a:xfrm>
                    <a:prstGeom prst="rect">
                      <a:avLst/>
                    </a:prstGeom>
                    <a:ln/>
                  </pic:spPr>
                </pic:pic>
              </a:graphicData>
            </a:graphic>
          </wp:inline>
        </w:drawing>
      </w:r>
    </w:p>
    <w:p w14:paraId="08A488C9" w14:textId="77777777" w:rsidR="003E10B7" w:rsidRDefault="003E10B7">
      <w:pPr>
        <w:widowControl w:val="0"/>
        <w:spacing w:after="0" w:line="240" w:lineRule="auto"/>
        <w:rPr>
          <w:rFonts w:ascii="Times New Roman" w:eastAsia="Times New Roman" w:hAnsi="Times New Roman" w:cs="Times New Roman"/>
          <w:sz w:val="28"/>
          <w:szCs w:val="28"/>
        </w:rPr>
      </w:pPr>
    </w:p>
    <w:p w14:paraId="2B202CDC" w14:textId="77777777" w:rsidR="003E10B7" w:rsidRDefault="003E10B7">
      <w:pPr>
        <w:widowControl w:val="0"/>
        <w:spacing w:after="0" w:line="240" w:lineRule="auto"/>
        <w:rPr>
          <w:rFonts w:ascii="Times New Roman" w:eastAsia="Times New Roman" w:hAnsi="Times New Roman" w:cs="Times New Roman"/>
          <w:sz w:val="28"/>
          <w:szCs w:val="28"/>
        </w:rPr>
      </w:pPr>
    </w:p>
    <w:p w14:paraId="0C65C359" w14:textId="77777777" w:rsidR="003E10B7" w:rsidRDefault="003E10B7">
      <w:pPr>
        <w:widowControl w:val="0"/>
        <w:spacing w:after="0" w:line="240" w:lineRule="auto"/>
        <w:rPr>
          <w:rFonts w:ascii="Times New Roman" w:eastAsia="Times New Roman" w:hAnsi="Times New Roman" w:cs="Times New Roman"/>
          <w:sz w:val="28"/>
          <w:szCs w:val="28"/>
        </w:rPr>
      </w:pPr>
    </w:p>
    <w:p w14:paraId="3703F57D" w14:textId="77777777" w:rsidR="003E10B7" w:rsidRDefault="003E10B7">
      <w:pPr>
        <w:widowControl w:val="0"/>
        <w:spacing w:after="0" w:line="240" w:lineRule="auto"/>
        <w:rPr>
          <w:rFonts w:ascii="Times New Roman" w:eastAsia="Times New Roman" w:hAnsi="Times New Roman" w:cs="Times New Roman"/>
          <w:sz w:val="28"/>
          <w:szCs w:val="28"/>
        </w:rPr>
      </w:pPr>
    </w:p>
    <w:p w14:paraId="2DED932E" w14:textId="77777777" w:rsidR="003E10B7" w:rsidRDefault="00000000">
      <w:pPr>
        <w:pStyle w:val="2"/>
        <w:keepNext w:val="0"/>
        <w:keepLines w:val="0"/>
        <w:widowControl w:val="0"/>
        <w:numPr>
          <w:ilvl w:val="0"/>
          <w:numId w:val="1"/>
        </w:numPr>
        <w:spacing w:before="0" w:line="240" w:lineRule="auto"/>
        <w:jc w:val="center"/>
        <w:rPr>
          <w:rFonts w:ascii="Times New Roman" w:eastAsia="Times New Roman" w:hAnsi="Times New Roman" w:cs="Times New Roman"/>
          <w:i/>
          <w:iCs/>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t>SYLLABUS</w:t>
      </w:r>
    </w:p>
    <w:p w14:paraId="0E340C3A" w14:textId="77777777" w:rsidR="003E10B7"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i/>
          <w:iCs/>
          <w:sz w:val="28"/>
          <w:szCs w:val="28"/>
        </w:rPr>
        <w:t>of the academic discipline</w:t>
      </w:r>
    </w:p>
    <w:p w14:paraId="7DC5CF9A" w14:textId="77777777" w:rsidR="003E10B7" w:rsidRDefault="003E10B7">
      <w:pPr>
        <w:pStyle w:val="2"/>
        <w:keepNext w:val="0"/>
        <w:keepLines w:val="0"/>
        <w:widowControl w:val="0"/>
        <w:numPr>
          <w:ilvl w:val="0"/>
          <w:numId w:val="1"/>
        </w:numPr>
        <w:spacing w:before="0" w:line="240" w:lineRule="auto"/>
        <w:jc w:val="center"/>
        <w:rPr>
          <w:rFonts w:ascii="Times New Roman" w:eastAsia="Times New Roman" w:hAnsi="Times New Roman" w:cs="Times New Roman"/>
          <w:i/>
          <w:iCs/>
          <w:color w:val="000000"/>
          <w:sz w:val="28"/>
          <w:szCs w:val="28"/>
        </w:rPr>
      </w:pPr>
    </w:p>
    <w:p w14:paraId="28BA528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INNOVATION AND INVESTMENT MANAGEMENT</w:t>
      </w:r>
    </w:p>
    <w:p w14:paraId="0EFD3AE6" w14:textId="77777777" w:rsidR="003E10B7" w:rsidRDefault="003E10B7">
      <w:pPr>
        <w:widowControl w:val="0"/>
        <w:spacing w:after="0" w:line="240" w:lineRule="auto"/>
        <w:rPr>
          <w:rFonts w:ascii="Times New Roman" w:eastAsia="Times New Roman" w:hAnsi="Times New Roman" w:cs="Times New Roman"/>
          <w:sz w:val="28"/>
          <w:szCs w:val="28"/>
        </w:rPr>
      </w:pPr>
    </w:p>
    <w:p w14:paraId="23C936F7" w14:textId="77777777" w:rsidR="003E10B7" w:rsidRDefault="003E10B7">
      <w:pPr>
        <w:widowControl w:val="0"/>
        <w:spacing w:after="0" w:line="240" w:lineRule="auto"/>
        <w:rPr>
          <w:rFonts w:ascii="Times New Roman" w:eastAsia="Times New Roman" w:hAnsi="Times New Roman" w:cs="Times New Roman"/>
          <w:sz w:val="28"/>
          <w:szCs w:val="28"/>
        </w:rPr>
      </w:pPr>
    </w:p>
    <w:tbl>
      <w:tblPr>
        <w:tblStyle w:val="af1"/>
        <w:tblW w:w="9412" w:type="dxa"/>
        <w:tblInd w:w="-6" w:type="dxa"/>
        <w:tblLayout w:type="fixed"/>
        <w:tblLook w:val="0000" w:firstRow="0" w:lastRow="0" w:firstColumn="0" w:lastColumn="0" w:noHBand="0" w:noVBand="0"/>
      </w:tblPr>
      <w:tblGrid>
        <w:gridCol w:w="3720"/>
        <w:gridCol w:w="5692"/>
      </w:tblGrid>
      <w:tr w:rsidR="003E10B7" w14:paraId="1B493558" w14:textId="77777777">
        <w:tc>
          <w:tcPr>
            <w:tcW w:w="3720" w:type="dxa"/>
          </w:tcPr>
          <w:p w14:paraId="794E580D" w14:textId="77777777" w:rsidR="003E10B7"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Level of higher education:</w:t>
            </w:r>
          </w:p>
          <w:p w14:paraId="4D94DF03" w14:textId="77777777" w:rsidR="003E10B7" w:rsidRDefault="003E10B7">
            <w:pPr>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692" w:type="dxa"/>
          </w:tcPr>
          <w:p w14:paraId="633C4C55" w14:textId="77777777" w:rsidR="003E10B7" w:rsidRDefault="00000000">
            <w:p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(master’s) level</w:t>
            </w:r>
          </w:p>
        </w:tc>
      </w:tr>
      <w:tr w:rsidR="003E10B7" w14:paraId="357C30D5" w14:textId="77777777">
        <w:tc>
          <w:tcPr>
            <w:tcW w:w="3720" w:type="dxa"/>
          </w:tcPr>
          <w:p w14:paraId="629029FD" w14:textId="77777777" w:rsidR="003E10B7"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Field of knowledge: </w:t>
            </w:r>
          </w:p>
        </w:tc>
        <w:tc>
          <w:tcPr>
            <w:tcW w:w="5692" w:type="dxa"/>
          </w:tcPr>
          <w:p w14:paraId="4FA7B184" w14:textId="77777777" w:rsidR="003E10B7" w:rsidRDefault="00000000">
            <w:p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 Business, Administration and Law</w:t>
            </w:r>
          </w:p>
          <w:p w14:paraId="6F51F04A" w14:textId="77777777" w:rsidR="003E10B7" w:rsidRDefault="003E10B7">
            <w:pPr>
              <w:pBdr>
                <w:top w:val="nil"/>
                <w:left w:val="nil"/>
                <w:bottom w:val="nil"/>
                <w:right w:val="nil"/>
                <w:between w:val="nil"/>
              </w:pBdr>
              <w:spacing w:after="0" w:line="240" w:lineRule="auto"/>
              <w:rPr>
                <w:rFonts w:ascii="Times New Roman" w:eastAsia="Times New Roman" w:hAnsi="Times New Roman" w:cs="Times New Roman"/>
                <w:sz w:val="28"/>
                <w:szCs w:val="28"/>
              </w:rPr>
            </w:pPr>
          </w:p>
        </w:tc>
      </w:tr>
      <w:tr w:rsidR="003E10B7" w14:paraId="1F28B537" w14:textId="77777777">
        <w:tc>
          <w:tcPr>
            <w:tcW w:w="3720" w:type="dxa"/>
          </w:tcPr>
          <w:p w14:paraId="786A2F38" w14:textId="77777777" w:rsidR="003E10B7"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Specialty:</w:t>
            </w:r>
          </w:p>
          <w:p w14:paraId="1CA2815D" w14:textId="77777777" w:rsidR="003E10B7" w:rsidRDefault="003E10B7">
            <w:pPr>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692" w:type="dxa"/>
          </w:tcPr>
          <w:p w14:paraId="214996BE" w14:textId="77777777" w:rsidR="003E10B7" w:rsidRDefault="00000000">
            <w:p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3E10B7" w14:paraId="30F94EF7" w14:textId="77777777">
        <w:tc>
          <w:tcPr>
            <w:tcW w:w="3720" w:type="dxa"/>
          </w:tcPr>
          <w:p w14:paraId="77BCCFAD" w14:textId="77777777" w:rsidR="003E10B7"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Study program:</w:t>
            </w:r>
          </w:p>
        </w:tc>
        <w:tc>
          <w:tcPr>
            <w:tcW w:w="5692" w:type="dxa"/>
          </w:tcPr>
          <w:p w14:paraId="217811BE" w14:textId="77777777" w:rsidR="003E10B7" w:rsidRDefault="00000000">
            <w:pPr>
              <w:pStyle w:val="2"/>
              <w:keepNext w:val="0"/>
              <w:widowControl w:val="0"/>
              <w:spacing w:before="0" w:line="240" w:lineRule="auto"/>
              <w:rPr>
                <w:rFonts w:ascii="Times New Roman" w:eastAsia="Times New Roman" w:hAnsi="Times New Roman" w:cs="Times New Roman"/>
                <w:b/>
                <w:bCs/>
                <w:i/>
                <w:iCs/>
                <w:color w:val="000000"/>
                <w:sz w:val="28"/>
                <w:szCs w:val="28"/>
              </w:rPr>
            </w:pPr>
            <w:r>
              <w:rPr>
                <w:rFonts w:ascii="Times New Roman" w:eastAsia="Times New Roman" w:hAnsi="Times New Roman" w:cs="Times New Roman"/>
                <w:color w:val="000000"/>
                <w:sz w:val="28"/>
                <w:szCs w:val="28"/>
              </w:rPr>
              <w:t>Management</w:t>
            </w:r>
          </w:p>
          <w:p w14:paraId="164D5D19" w14:textId="77777777" w:rsidR="003E10B7" w:rsidRDefault="003E10B7">
            <w:pPr>
              <w:pBdr>
                <w:top w:val="nil"/>
                <w:left w:val="nil"/>
                <w:bottom w:val="nil"/>
                <w:right w:val="nil"/>
                <w:between w:val="nil"/>
              </w:pBdr>
              <w:spacing w:after="0" w:line="240" w:lineRule="auto"/>
              <w:rPr>
                <w:rFonts w:ascii="Times New Roman" w:eastAsia="Times New Roman" w:hAnsi="Times New Roman" w:cs="Times New Roman"/>
                <w:sz w:val="28"/>
                <w:szCs w:val="28"/>
              </w:rPr>
            </w:pPr>
          </w:p>
        </w:tc>
      </w:tr>
    </w:tbl>
    <w:p w14:paraId="67572D20" w14:textId="77777777" w:rsidR="003E10B7"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p>
    <w:p w14:paraId="166B04D6" w14:textId="77777777" w:rsidR="003E10B7" w:rsidRDefault="003E10B7">
      <w:pPr>
        <w:widowControl w:val="0"/>
        <w:spacing w:after="0" w:line="240" w:lineRule="auto"/>
        <w:rPr>
          <w:rFonts w:ascii="Times New Roman" w:eastAsia="Times New Roman" w:hAnsi="Times New Roman" w:cs="Times New Roman"/>
          <w:sz w:val="28"/>
          <w:szCs w:val="28"/>
        </w:rPr>
      </w:pPr>
    </w:p>
    <w:p w14:paraId="22A541E9" w14:textId="77777777" w:rsidR="003E10B7" w:rsidRDefault="003E10B7">
      <w:pPr>
        <w:widowControl w:val="0"/>
        <w:spacing w:after="0" w:line="240" w:lineRule="auto"/>
        <w:rPr>
          <w:rFonts w:ascii="Times New Roman" w:eastAsia="Times New Roman" w:hAnsi="Times New Roman" w:cs="Times New Roman"/>
          <w:sz w:val="28"/>
          <w:szCs w:val="28"/>
        </w:rPr>
      </w:pPr>
    </w:p>
    <w:p w14:paraId="38DE5C04" w14:textId="77777777" w:rsidR="003E10B7" w:rsidRDefault="003E10B7">
      <w:pPr>
        <w:widowControl w:val="0"/>
        <w:spacing w:after="0" w:line="240" w:lineRule="auto"/>
        <w:rPr>
          <w:rFonts w:ascii="Times New Roman" w:eastAsia="Times New Roman" w:hAnsi="Times New Roman" w:cs="Times New Roman"/>
          <w:sz w:val="28"/>
          <w:szCs w:val="28"/>
        </w:rPr>
      </w:pPr>
    </w:p>
    <w:p w14:paraId="457CCD29" w14:textId="77777777" w:rsidR="003E10B7"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p>
    <w:p w14:paraId="5FD77137" w14:textId="77777777" w:rsidR="003E10B7" w:rsidRDefault="003E10B7">
      <w:pPr>
        <w:widowControl w:val="0"/>
        <w:spacing w:after="0" w:line="240" w:lineRule="auto"/>
        <w:rPr>
          <w:rFonts w:ascii="Times New Roman" w:eastAsia="Times New Roman" w:hAnsi="Times New Roman" w:cs="Times New Roman"/>
          <w:sz w:val="28"/>
          <w:szCs w:val="28"/>
        </w:rPr>
      </w:pPr>
    </w:p>
    <w:p w14:paraId="671F2438" w14:textId="77777777" w:rsidR="003E10B7" w:rsidRDefault="003E10B7">
      <w:pPr>
        <w:widowControl w:val="0"/>
        <w:spacing w:after="0" w:line="240" w:lineRule="auto"/>
        <w:rPr>
          <w:rFonts w:ascii="Times New Roman" w:eastAsia="Times New Roman" w:hAnsi="Times New Roman" w:cs="Times New Roman"/>
          <w:sz w:val="28"/>
          <w:szCs w:val="28"/>
        </w:rPr>
      </w:pPr>
    </w:p>
    <w:p w14:paraId="30BD5EFF" w14:textId="77777777" w:rsidR="003E10B7" w:rsidRDefault="003E10B7">
      <w:pPr>
        <w:widowControl w:val="0"/>
        <w:spacing w:after="0" w:line="240" w:lineRule="auto"/>
        <w:rPr>
          <w:rFonts w:ascii="Times New Roman" w:eastAsia="Times New Roman" w:hAnsi="Times New Roman" w:cs="Times New Roman"/>
          <w:sz w:val="28"/>
          <w:szCs w:val="28"/>
        </w:rPr>
      </w:pPr>
    </w:p>
    <w:p w14:paraId="6BF230A1"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IAPM  2025</w:t>
      </w:r>
    </w:p>
    <w:p w14:paraId="45408214" w14:textId="77777777" w:rsidR="003E10B7" w:rsidRDefault="003E10B7">
      <w:pPr>
        <w:widowControl w:val="0"/>
        <w:pBdr>
          <w:top w:val="nil"/>
          <w:left w:val="nil"/>
          <w:bottom w:val="nil"/>
          <w:right w:val="nil"/>
          <w:between w:val="nil"/>
        </w:pBdr>
        <w:spacing w:after="0" w:line="240" w:lineRule="auto"/>
        <w:rPr>
          <w:rFonts w:ascii="Times New Roman" w:eastAsia="Times New Roman" w:hAnsi="Times New Roman" w:cs="Times New Roman"/>
          <w:b/>
          <w:bCs/>
          <w:color w:val="000000"/>
          <w:sz w:val="28"/>
          <w:szCs w:val="28"/>
        </w:rPr>
      </w:pPr>
    </w:p>
    <w:p w14:paraId="56CB2131" w14:textId="77777777" w:rsidR="003E10B7" w:rsidRDefault="00000000">
      <w:pPr>
        <w:spacing w:after="0" w:line="240" w:lineRule="auto"/>
        <w:rPr>
          <w:rFonts w:ascii="Times New Roman" w:eastAsia="Times New Roman" w:hAnsi="Times New Roman" w:cs="Times New Roman"/>
          <w:b/>
          <w:bCs/>
          <w:sz w:val="28"/>
          <w:szCs w:val="28"/>
        </w:rPr>
      </w:pPr>
      <w:r>
        <w:br w:type="page"/>
      </w:r>
    </w:p>
    <w:p w14:paraId="49C52C2B" w14:textId="77777777" w:rsidR="003E10B7"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lastRenderedPageBreak/>
        <w:t>General information about the academic discipline</w:t>
      </w:r>
    </w:p>
    <w:tbl>
      <w:tblPr>
        <w:tblStyle w:val="af2"/>
        <w:tblpPr w:leftFromText="180" w:rightFromText="180" w:vertAnchor="text" w:tblpX="91" w:tblpY="293"/>
        <w:tblW w:w="9854" w:type="dxa"/>
        <w:tblInd w:w="0" w:type="dxa"/>
        <w:tblLayout w:type="fixed"/>
        <w:tblLook w:val="0400" w:firstRow="0" w:lastRow="0" w:firstColumn="0" w:lastColumn="0" w:noHBand="0" w:noVBand="1"/>
      </w:tblPr>
      <w:tblGrid>
        <w:gridCol w:w="4361"/>
        <w:gridCol w:w="5493"/>
      </w:tblGrid>
      <w:tr w:rsidR="003E10B7" w14:paraId="07CCEE1E" w14:textId="77777777">
        <w:trPr>
          <w:trHeight w:val="290"/>
        </w:trPr>
        <w:tc>
          <w:tcPr>
            <w:tcW w:w="4361" w:type="dxa"/>
            <w:tcBorders>
              <w:top w:val="single" w:sz="4" w:space="0" w:color="000000"/>
              <w:left w:val="single" w:sz="4" w:space="0" w:color="000000"/>
              <w:bottom w:val="single" w:sz="4" w:space="0" w:color="000000"/>
              <w:right w:val="single" w:sz="4" w:space="0" w:color="000000"/>
            </w:tcBorders>
          </w:tcPr>
          <w:p w14:paraId="2C3C3F85"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Name of the academic discipline</w:t>
            </w:r>
          </w:p>
        </w:tc>
        <w:tc>
          <w:tcPr>
            <w:tcW w:w="5493" w:type="dxa"/>
            <w:tcBorders>
              <w:top w:val="single" w:sz="4" w:space="0" w:color="000000"/>
              <w:left w:val="single" w:sz="4" w:space="0" w:color="000000"/>
              <w:bottom w:val="single" w:sz="4" w:space="0" w:color="000000"/>
              <w:right w:val="single" w:sz="4" w:space="0" w:color="000000"/>
            </w:tcBorders>
          </w:tcPr>
          <w:p w14:paraId="1E5D9940"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Innovation and investment management</w:t>
            </w:r>
          </w:p>
        </w:tc>
      </w:tr>
      <w:tr w:rsidR="003E10B7" w14:paraId="2381112B" w14:textId="77777777">
        <w:trPr>
          <w:trHeight w:val="289"/>
        </w:trPr>
        <w:tc>
          <w:tcPr>
            <w:tcW w:w="4361" w:type="dxa"/>
            <w:tcBorders>
              <w:top w:val="single" w:sz="4" w:space="0" w:color="000000"/>
              <w:left w:val="single" w:sz="4" w:space="0" w:color="000000"/>
              <w:bottom w:val="single" w:sz="4" w:space="0" w:color="000000"/>
              <w:right w:val="single" w:sz="4" w:space="0" w:color="000000"/>
            </w:tcBorders>
          </w:tcPr>
          <w:p w14:paraId="5BD79B69"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Code and name of </w:t>
            </w:r>
            <w:proofErr w:type="gramStart"/>
            <w:r>
              <w:rPr>
                <w:rFonts w:ascii="Times New Roman" w:eastAsia="Times New Roman" w:hAnsi="Times New Roman" w:cs="Times New Roman"/>
                <w:sz w:val="28"/>
                <w:szCs w:val="28"/>
              </w:rPr>
              <w:t xml:space="preserve">the </w:t>
            </w:r>
            <w:r>
              <w:rPr>
                <w:rFonts w:ascii="Times New Roman" w:eastAsia="Times New Roman" w:hAnsi="Times New Roman" w:cs="Times New Roman"/>
                <w:b/>
                <w:bCs/>
                <w:i/>
                <w:iCs/>
                <w:sz w:val="28"/>
                <w:szCs w:val="28"/>
              </w:rPr>
              <w:t xml:space="preserve"> </w:t>
            </w:r>
            <w:r>
              <w:rPr>
                <w:rFonts w:ascii="Times New Roman" w:eastAsia="Times New Roman" w:hAnsi="Times New Roman" w:cs="Times New Roman"/>
                <w:sz w:val="28"/>
                <w:szCs w:val="28"/>
              </w:rPr>
              <w:t>specialty</w:t>
            </w:r>
            <w:proofErr w:type="gramEnd"/>
          </w:p>
        </w:tc>
        <w:tc>
          <w:tcPr>
            <w:tcW w:w="5493" w:type="dxa"/>
            <w:tcBorders>
              <w:top w:val="single" w:sz="4" w:space="0" w:color="000000"/>
              <w:left w:val="single" w:sz="4" w:space="0" w:color="000000"/>
              <w:bottom w:val="single" w:sz="4" w:space="0" w:color="000000"/>
              <w:right w:val="single" w:sz="4" w:space="0" w:color="000000"/>
            </w:tcBorders>
          </w:tcPr>
          <w:p w14:paraId="7971F2EB"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3E10B7" w14:paraId="27CE1F11" w14:textId="77777777">
        <w:trPr>
          <w:trHeight w:val="372"/>
        </w:trPr>
        <w:tc>
          <w:tcPr>
            <w:tcW w:w="4361" w:type="dxa"/>
            <w:tcBorders>
              <w:top w:val="single" w:sz="4" w:space="0" w:color="000000"/>
              <w:left w:val="single" w:sz="4" w:space="0" w:color="000000"/>
              <w:bottom w:val="single" w:sz="4" w:space="0" w:color="000000"/>
              <w:right w:val="single" w:sz="4" w:space="0" w:color="000000"/>
            </w:tcBorders>
          </w:tcPr>
          <w:p w14:paraId="297C5266"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Level of higher education </w:t>
            </w:r>
          </w:p>
        </w:tc>
        <w:tc>
          <w:tcPr>
            <w:tcW w:w="5493" w:type="dxa"/>
            <w:tcBorders>
              <w:top w:val="single" w:sz="4" w:space="0" w:color="000000"/>
              <w:left w:val="single" w:sz="4" w:space="0" w:color="000000"/>
              <w:bottom w:val="single" w:sz="4" w:space="0" w:color="000000"/>
              <w:right w:val="single" w:sz="4" w:space="0" w:color="000000"/>
            </w:tcBorders>
          </w:tcPr>
          <w:p w14:paraId="2171DA3D"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(master's) level</w:t>
            </w:r>
          </w:p>
        </w:tc>
      </w:tr>
      <w:tr w:rsidR="003E10B7" w14:paraId="59555DC6" w14:textId="77777777">
        <w:trPr>
          <w:trHeight w:val="386"/>
        </w:trPr>
        <w:tc>
          <w:tcPr>
            <w:tcW w:w="4361" w:type="dxa"/>
            <w:tcBorders>
              <w:top w:val="single" w:sz="4" w:space="0" w:color="000000"/>
              <w:left w:val="single" w:sz="4" w:space="0" w:color="000000"/>
              <w:bottom w:val="single" w:sz="4" w:space="0" w:color="000000"/>
              <w:right w:val="single" w:sz="4" w:space="0" w:color="000000"/>
            </w:tcBorders>
          </w:tcPr>
          <w:p w14:paraId="298A9EE7" w14:textId="77777777" w:rsidR="003E10B7" w:rsidRDefault="00000000">
            <w:pPr>
              <w:spacing w:after="0" w:line="240" w:lineRule="auto"/>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Discipline  status</w:t>
            </w:r>
            <w:proofErr w:type="gramEnd"/>
            <w:r>
              <w:rPr>
                <w:rFonts w:ascii="Times New Roman" w:eastAsia="Times New Roman" w:hAnsi="Times New Roman" w:cs="Times New Roman"/>
                <w:sz w:val="28"/>
                <w:szCs w:val="28"/>
              </w:rPr>
              <w:t xml:space="preserve"> </w:t>
            </w:r>
          </w:p>
        </w:tc>
        <w:tc>
          <w:tcPr>
            <w:tcW w:w="5493" w:type="dxa"/>
            <w:tcBorders>
              <w:top w:val="single" w:sz="4" w:space="0" w:color="000000"/>
              <w:left w:val="single" w:sz="4" w:space="0" w:color="000000"/>
              <w:bottom w:val="single" w:sz="4" w:space="0" w:color="000000"/>
              <w:right w:val="single" w:sz="4" w:space="0" w:color="000000"/>
            </w:tcBorders>
          </w:tcPr>
          <w:p w14:paraId="45FEC195"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Compulsory</w:t>
            </w:r>
          </w:p>
        </w:tc>
      </w:tr>
      <w:tr w:rsidR="003E10B7" w14:paraId="7241414E" w14:textId="77777777">
        <w:trPr>
          <w:trHeight w:val="1189"/>
        </w:trPr>
        <w:tc>
          <w:tcPr>
            <w:tcW w:w="4361" w:type="dxa"/>
            <w:tcBorders>
              <w:top w:val="single" w:sz="4" w:space="0" w:color="000000"/>
              <w:left w:val="single" w:sz="4" w:space="0" w:color="000000"/>
              <w:bottom w:val="single" w:sz="4" w:space="0" w:color="000000"/>
              <w:right w:val="single" w:sz="4" w:space="0" w:color="000000"/>
            </w:tcBorders>
          </w:tcPr>
          <w:p w14:paraId="3AFB5D4E"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Number of credits and hours</w:t>
            </w:r>
          </w:p>
        </w:tc>
        <w:tc>
          <w:tcPr>
            <w:tcW w:w="5493" w:type="dxa"/>
            <w:tcBorders>
              <w:top w:val="single" w:sz="4" w:space="0" w:color="000000"/>
              <w:left w:val="single" w:sz="4" w:space="0" w:color="000000"/>
              <w:bottom w:val="single" w:sz="4" w:space="0" w:color="000000"/>
              <w:right w:val="single" w:sz="4" w:space="0" w:color="000000"/>
            </w:tcBorders>
          </w:tcPr>
          <w:p w14:paraId="58375426"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 credits/120 hours</w:t>
            </w:r>
          </w:p>
          <w:p w14:paraId="5DA41556" w14:textId="77777777" w:rsidR="003E10B7" w:rsidRDefault="00000000">
            <w:pPr>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Lectures: 26 hours</w:t>
            </w:r>
          </w:p>
          <w:p w14:paraId="7AD374C8" w14:textId="77777777" w:rsidR="003E10B7" w:rsidRDefault="00000000">
            <w:pPr>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Seminar classes: 26 hours</w:t>
            </w:r>
          </w:p>
          <w:p w14:paraId="1D34161E" w14:textId="77777777" w:rsidR="003E10B7" w:rsidRDefault="00000000">
            <w:pPr>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Independent work by students: 68 hours</w:t>
            </w:r>
          </w:p>
        </w:tc>
      </w:tr>
      <w:tr w:rsidR="003E10B7" w14:paraId="47BCFB4D" w14:textId="77777777">
        <w:trPr>
          <w:trHeight w:val="393"/>
        </w:trPr>
        <w:tc>
          <w:tcPr>
            <w:tcW w:w="4361" w:type="dxa"/>
            <w:tcBorders>
              <w:top w:val="single" w:sz="4" w:space="0" w:color="000000"/>
              <w:left w:val="single" w:sz="4" w:space="0" w:color="000000"/>
              <w:bottom w:val="single" w:sz="4" w:space="0" w:color="000000"/>
              <w:right w:val="single" w:sz="4" w:space="0" w:color="000000"/>
            </w:tcBorders>
          </w:tcPr>
          <w:p w14:paraId="4C734752"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Terms of study of the discipline</w:t>
            </w:r>
          </w:p>
        </w:tc>
        <w:tc>
          <w:tcPr>
            <w:tcW w:w="5493" w:type="dxa"/>
            <w:tcBorders>
              <w:top w:val="single" w:sz="4" w:space="0" w:color="000000"/>
              <w:left w:val="single" w:sz="4" w:space="0" w:color="000000"/>
              <w:bottom w:val="single" w:sz="4" w:space="0" w:color="000000"/>
              <w:right w:val="single" w:sz="4" w:space="0" w:color="000000"/>
            </w:tcBorders>
          </w:tcPr>
          <w:p w14:paraId="7D83E389"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semester</w:t>
            </w:r>
          </w:p>
        </w:tc>
      </w:tr>
      <w:tr w:rsidR="003E10B7" w14:paraId="723D384E" w14:textId="77777777">
        <w:trPr>
          <w:trHeight w:val="376"/>
        </w:trPr>
        <w:tc>
          <w:tcPr>
            <w:tcW w:w="4361" w:type="dxa"/>
            <w:tcBorders>
              <w:top w:val="single" w:sz="4" w:space="0" w:color="000000"/>
              <w:left w:val="single" w:sz="4" w:space="0" w:color="000000"/>
              <w:bottom w:val="single" w:sz="4" w:space="0" w:color="000000"/>
              <w:right w:val="single" w:sz="4" w:space="0" w:color="000000"/>
            </w:tcBorders>
          </w:tcPr>
          <w:p w14:paraId="38018E9E"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Language of instruction</w:t>
            </w:r>
          </w:p>
        </w:tc>
        <w:tc>
          <w:tcPr>
            <w:tcW w:w="5493" w:type="dxa"/>
            <w:tcBorders>
              <w:top w:val="single" w:sz="4" w:space="0" w:color="000000"/>
              <w:left w:val="single" w:sz="4" w:space="0" w:color="000000"/>
              <w:bottom w:val="single" w:sz="4" w:space="0" w:color="000000"/>
              <w:right w:val="single" w:sz="4" w:space="0" w:color="000000"/>
            </w:tcBorders>
          </w:tcPr>
          <w:p w14:paraId="2EC90E7A"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Ukrainian</w:t>
            </w:r>
          </w:p>
        </w:tc>
      </w:tr>
      <w:tr w:rsidR="003E10B7" w14:paraId="21A2FCCF" w14:textId="77777777">
        <w:trPr>
          <w:trHeight w:val="335"/>
        </w:trPr>
        <w:tc>
          <w:tcPr>
            <w:tcW w:w="4361" w:type="dxa"/>
            <w:tcBorders>
              <w:top w:val="single" w:sz="4" w:space="0" w:color="000000"/>
              <w:left w:val="single" w:sz="4" w:space="0" w:color="000000"/>
              <w:bottom w:val="single" w:sz="4" w:space="0" w:color="000000"/>
              <w:right w:val="single" w:sz="4" w:space="0" w:color="000000"/>
            </w:tcBorders>
          </w:tcPr>
          <w:p w14:paraId="31A60E4F"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Final control type </w:t>
            </w:r>
          </w:p>
        </w:tc>
        <w:tc>
          <w:tcPr>
            <w:tcW w:w="5493" w:type="dxa"/>
            <w:tcBorders>
              <w:top w:val="single" w:sz="4" w:space="0" w:color="000000"/>
              <w:left w:val="single" w:sz="4" w:space="0" w:color="000000"/>
              <w:bottom w:val="single" w:sz="4" w:space="0" w:color="000000"/>
              <w:right w:val="single" w:sz="4" w:space="0" w:color="000000"/>
            </w:tcBorders>
          </w:tcPr>
          <w:p w14:paraId="4A7FBDD9" w14:textId="77777777" w:rsidR="003E10B7" w:rsidRDefault="00000000">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Exam</w:t>
            </w:r>
          </w:p>
        </w:tc>
      </w:tr>
    </w:tbl>
    <w:p w14:paraId="04C955EA" w14:textId="77777777" w:rsidR="003E10B7" w:rsidRDefault="003E10B7">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p>
    <w:p w14:paraId="3AF194C6" w14:textId="77777777" w:rsidR="003E10B7" w:rsidRDefault="003E10B7">
      <w:pPr>
        <w:widowControl w:val="0"/>
        <w:pBdr>
          <w:top w:val="nil"/>
          <w:left w:val="nil"/>
          <w:bottom w:val="nil"/>
          <w:right w:val="nil"/>
          <w:between w:val="nil"/>
        </w:pBdr>
        <w:spacing w:after="0" w:line="240" w:lineRule="auto"/>
        <w:rPr>
          <w:rFonts w:ascii="Times New Roman" w:eastAsia="Times New Roman" w:hAnsi="Times New Roman" w:cs="Times New Roman"/>
          <w:b/>
          <w:bCs/>
          <w:color w:val="000000"/>
          <w:sz w:val="28"/>
          <w:szCs w:val="28"/>
        </w:rPr>
      </w:pPr>
    </w:p>
    <w:p w14:paraId="60E5548F"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General information about the instructor. Contact information.</w:t>
      </w:r>
    </w:p>
    <w:p w14:paraId="58E9C99D" w14:textId="77777777" w:rsidR="003E10B7" w:rsidRDefault="003E10B7">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4310"/>
        <w:gridCol w:w="5040"/>
      </w:tblGrid>
      <w:tr w:rsidR="00D35D24" w:rsidRPr="00D35D24" w14:paraId="20B7720C" w14:textId="77777777" w:rsidTr="003F6EBB">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56E1ADA"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C0902A7"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val="ru-UA" w:eastAsia="zh-CN"/>
              </w:rPr>
            </w:pPr>
            <w:proofErr w:type="spellStart"/>
            <w:r w:rsidRPr="00D35D24">
              <w:rPr>
                <w:rFonts w:ascii="Times New Roman" w:eastAsia="Courier New" w:hAnsi="Times New Roman" w:cs="Times New Roman"/>
                <w:sz w:val="28"/>
                <w:szCs w:val="28"/>
                <w:lang w:val="en" w:eastAsia="zh-CN"/>
              </w:rPr>
              <w:t>Bezzubko</w:t>
            </w:r>
            <w:proofErr w:type="spellEnd"/>
            <w:r w:rsidRPr="00D35D24">
              <w:rPr>
                <w:rFonts w:ascii="Times New Roman" w:eastAsia="Courier New" w:hAnsi="Times New Roman" w:cs="Times New Roman"/>
                <w:sz w:val="28"/>
                <w:szCs w:val="28"/>
                <w:lang w:val="en" w:eastAsia="zh-CN"/>
              </w:rPr>
              <w:t xml:space="preserve"> Larisa</w:t>
            </w:r>
          </w:p>
        </w:tc>
      </w:tr>
      <w:tr w:rsidR="00D35D24" w:rsidRPr="00D35D24" w14:paraId="66A5A2A5" w14:textId="77777777" w:rsidTr="003F6EBB">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89F04BC"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78579FC"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val="ru-UA" w:eastAsia="zh-CN"/>
              </w:rPr>
            </w:pPr>
            <w:r w:rsidRPr="00D35D24">
              <w:rPr>
                <w:rFonts w:ascii="Times New Roman" w:eastAsia="Courier New" w:hAnsi="Times New Roman" w:cs="Times New Roman"/>
                <w:sz w:val="28"/>
                <w:szCs w:val="28"/>
                <w:lang w:val="en" w:eastAsia="zh-CN"/>
              </w:rPr>
              <w:t>Doctor of Science in Public Administration</w:t>
            </w:r>
          </w:p>
        </w:tc>
      </w:tr>
      <w:tr w:rsidR="00D35D24" w:rsidRPr="00D35D24" w14:paraId="490F6BAF" w14:textId="77777777" w:rsidTr="003F6EBB">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B5D7592"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B7455E1"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Professor</w:t>
            </w:r>
          </w:p>
        </w:tc>
      </w:tr>
      <w:tr w:rsidR="00D35D24" w:rsidRPr="00D35D24" w14:paraId="058D45EA" w14:textId="77777777" w:rsidTr="003F6EBB">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FA2F555"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9AAB922"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val="ru-UA" w:eastAsia="zh-CN"/>
              </w:rPr>
            </w:pPr>
            <w:r w:rsidRPr="00D35D24">
              <w:rPr>
                <w:rFonts w:ascii="Times New Roman" w:eastAsia="Courier New" w:hAnsi="Times New Roman" w:cs="Times New Roman"/>
                <w:sz w:val="28"/>
                <w:szCs w:val="28"/>
                <w:lang w:val="en" w:eastAsia="zh-CN"/>
              </w:rPr>
              <w:t>Economics, economic analysis, public administration, local government</w:t>
            </w:r>
          </w:p>
        </w:tc>
      </w:tr>
      <w:tr w:rsidR="00D35D24" w:rsidRPr="00D35D24" w14:paraId="1A28BAB2"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7BFDF74"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6EC1685" w14:textId="77777777" w:rsidR="00D35D24" w:rsidRPr="00D35D24" w:rsidRDefault="00D35D24" w:rsidP="00D35D24">
            <w:pPr>
              <w:suppressAutoHyphens/>
              <w:spacing w:after="0"/>
              <w:ind w:hanging="2"/>
              <w:rPr>
                <w:rFonts w:ascii="Times New Roman" w:eastAsia="Courier New" w:hAnsi="Times New Roman" w:cs="Times New Roman"/>
                <w:sz w:val="28"/>
                <w:szCs w:val="28"/>
                <w:lang w:eastAsia="zh-CN"/>
              </w:rPr>
            </w:pPr>
            <w:r w:rsidRPr="00D35D24">
              <w:rPr>
                <w:rFonts w:ascii="Times New Roman" w:hAnsi="Times New Roman" w:cs="Times New Roman"/>
                <w:sz w:val="24"/>
                <w:szCs w:val="24"/>
                <w:lang w:val="uk-UA" w:eastAsia="ru-RU"/>
              </w:rPr>
              <w:t xml:space="preserve">ORCID: https://orcid.org/0000-0003-1401-1694 </w:t>
            </w:r>
            <w:proofErr w:type="spellStart"/>
            <w:r w:rsidRPr="00D35D24">
              <w:rPr>
                <w:rFonts w:ascii="Times New Roman" w:hAnsi="Times New Roman" w:cs="Times New Roman"/>
                <w:sz w:val="24"/>
                <w:szCs w:val="24"/>
                <w:lang w:val="uk-UA" w:eastAsia="ru-RU"/>
              </w:rPr>
              <w:t>Google</w:t>
            </w:r>
            <w:proofErr w:type="spellEnd"/>
            <w:r w:rsidRPr="00D35D24">
              <w:rPr>
                <w:rFonts w:ascii="Times New Roman" w:hAnsi="Times New Roman" w:cs="Times New Roman"/>
                <w:sz w:val="24"/>
                <w:szCs w:val="24"/>
                <w:lang w:val="uk-UA" w:eastAsia="ru-RU"/>
              </w:rPr>
              <w:t xml:space="preserve"> </w:t>
            </w:r>
            <w:proofErr w:type="spellStart"/>
            <w:r w:rsidRPr="00D35D24">
              <w:rPr>
                <w:rFonts w:ascii="Times New Roman" w:hAnsi="Times New Roman" w:cs="Times New Roman"/>
                <w:sz w:val="24"/>
                <w:szCs w:val="24"/>
                <w:lang w:val="uk-UA" w:eastAsia="ru-RU"/>
              </w:rPr>
              <w:t>Scholar</w:t>
            </w:r>
            <w:proofErr w:type="spellEnd"/>
            <w:r w:rsidRPr="00D35D24">
              <w:rPr>
                <w:rFonts w:ascii="Times New Roman" w:hAnsi="Times New Roman" w:cs="Times New Roman"/>
                <w:sz w:val="24"/>
                <w:szCs w:val="24"/>
                <w:lang w:val="uk-UA" w:eastAsia="ru-RU"/>
              </w:rPr>
              <w:t xml:space="preserve"> </w:t>
            </w:r>
            <w:proofErr w:type="spellStart"/>
            <w:r w:rsidRPr="00D35D24">
              <w:rPr>
                <w:rFonts w:ascii="Times New Roman" w:hAnsi="Times New Roman" w:cs="Times New Roman"/>
                <w:sz w:val="24"/>
                <w:szCs w:val="24"/>
                <w:lang w:val="uk-UA" w:eastAsia="ru-RU"/>
              </w:rPr>
              <w:t>Profile</w:t>
            </w:r>
            <w:proofErr w:type="spellEnd"/>
            <w:r w:rsidRPr="00D35D24">
              <w:rPr>
                <w:rFonts w:ascii="Times New Roman" w:hAnsi="Times New Roman" w:cs="Times New Roman"/>
                <w:sz w:val="24"/>
                <w:szCs w:val="24"/>
                <w:lang w:val="uk-UA" w:eastAsia="ru-RU"/>
              </w:rPr>
              <w:t xml:space="preserve">: </w:t>
            </w:r>
            <w:hyperlink r:id="rId7" w:history="1">
              <w:r w:rsidRPr="00D35D24">
                <w:rPr>
                  <w:rFonts w:ascii="Times New Roman" w:hAnsi="Times New Roman" w:cs="Times New Roman"/>
                  <w:color w:val="0000FF"/>
                  <w:sz w:val="24"/>
                  <w:szCs w:val="24"/>
                  <w:u w:val="single"/>
                  <w:lang w:val="uk-UA" w:eastAsia="ru-RU"/>
                </w:rPr>
                <w:t xml:space="preserve">https://scholar.google.com.ua/citations? </w:t>
              </w:r>
              <w:proofErr w:type="spellStart"/>
              <w:r w:rsidRPr="00D35D24">
                <w:rPr>
                  <w:rFonts w:ascii="Times New Roman" w:hAnsi="Times New Roman" w:cs="Times New Roman"/>
                  <w:color w:val="0000FF"/>
                  <w:sz w:val="24"/>
                  <w:szCs w:val="24"/>
                  <w:u w:val="single"/>
                  <w:lang w:val="uk-UA" w:eastAsia="ru-RU"/>
                </w:rPr>
                <w:t>user</w:t>
              </w:r>
              <w:proofErr w:type="spellEnd"/>
              <w:r w:rsidRPr="00D35D24">
                <w:rPr>
                  <w:rFonts w:ascii="Times New Roman" w:hAnsi="Times New Roman" w:cs="Times New Roman"/>
                  <w:color w:val="0000FF"/>
                  <w:sz w:val="24"/>
                  <w:szCs w:val="24"/>
                  <w:u w:val="single"/>
                  <w:lang w:val="uk-UA" w:eastAsia="ru-RU"/>
                </w:rPr>
                <w:t>=dZA35PQAAAAJ&amp;hl=</w:t>
              </w:r>
              <w:proofErr w:type="spellStart"/>
              <w:r w:rsidRPr="00D35D24">
                <w:rPr>
                  <w:rFonts w:ascii="Times New Roman" w:hAnsi="Times New Roman" w:cs="Times New Roman"/>
                  <w:color w:val="0000FF"/>
                  <w:sz w:val="24"/>
                  <w:szCs w:val="24"/>
                  <w:u w:val="single"/>
                  <w:lang w:val="uk-UA" w:eastAsia="ru-RU"/>
                </w:rPr>
                <w:t>ru</w:t>
              </w:r>
              <w:proofErr w:type="spellEnd"/>
            </w:hyperlink>
            <w:r w:rsidRPr="00D35D24">
              <w:rPr>
                <w:rFonts w:ascii="Times New Roman" w:hAnsi="Times New Roman" w:cs="Times New Roman"/>
                <w:sz w:val="24"/>
                <w:szCs w:val="24"/>
                <w:lang w:val="uk-UA" w:eastAsia="ru-RU"/>
              </w:rPr>
              <w:t xml:space="preserve">   </w:t>
            </w:r>
          </w:p>
        </w:tc>
      </w:tr>
      <w:tr w:rsidR="00D35D24" w:rsidRPr="00D35D24" w14:paraId="31E66103"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78EF1FE"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Contact information</w:t>
            </w:r>
          </w:p>
        </w:tc>
      </w:tr>
      <w:tr w:rsidR="00D35D24" w:rsidRPr="00D35D24" w14:paraId="18B2CB81"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E246B5B"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63775E7"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p>
        </w:tc>
      </w:tr>
      <w:tr w:rsidR="00D35D24" w:rsidRPr="00D35D24" w14:paraId="7BDC6CEA"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E35CA43"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09D413D"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p>
        </w:tc>
      </w:tr>
      <w:tr w:rsidR="00D35D24" w:rsidRPr="00D35D24" w14:paraId="6F4275C4"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24B5035" w14:textId="77777777" w:rsidR="00D35D24" w:rsidRPr="00D35D24" w:rsidRDefault="00D35D24" w:rsidP="00D35D24">
            <w:pPr>
              <w:suppressAutoHyphens/>
              <w:spacing w:after="0"/>
              <w:ind w:left="1" w:hanging="3"/>
              <w:rPr>
                <w:rFonts w:ascii="Times New Roman" w:eastAsia="Courier New" w:hAnsi="Times New Roman" w:cs="Times New Roman"/>
                <w:sz w:val="28"/>
                <w:szCs w:val="28"/>
                <w:lang w:eastAsia="zh-CN"/>
              </w:rPr>
            </w:pPr>
            <w:r w:rsidRPr="00D35D24">
              <w:rPr>
                <w:rFonts w:ascii="Times New Roman" w:eastAsia="Courier New" w:hAnsi="Times New Roman" w:cs="Times New Roman"/>
                <w:sz w:val="28"/>
                <w:szCs w:val="28"/>
                <w:lang w:eastAsia="zh-CN"/>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E50DD31" w14:textId="77777777" w:rsidR="00D35D24" w:rsidRPr="00D35D24" w:rsidRDefault="00D35D24" w:rsidP="00D35D24">
            <w:pPr>
              <w:suppressAutoHyphens/>
              <w:spacing w:after="0"/>
              <w:ind w:hanging="2"/>
              <w:rPr>
                <w:rFonts w:ascii="Times New Roman" w:eastAsia="Courier New" w:hAnsi="Times New Roman" w:cs="Times New Roman"/>
                <w:sz w:val="28"/>
                <w:szCs w:val="28"/>
                <w:lang w:eastAsia="zh-CN"/>
              </w:rPr>
            </w:pPr>
            <w:hyperlink r:id="rId8" w:history="1">
              <w:r w:rsidRPr="00D35D24">
                <w:rPr>
                  <w:rFonts w:ascii="Times New Roman" w:hAnsi="Times New Roman" w:cs="Times New Roman"/>
                  <w:color w:val="0000FF"/>
                  <w:sz w:val="24"/>
                  <w:szCs w:val="24"/>
                  <w:u w:val="single"/>
                  <w:lang w:val="uk-UA" w:eastAsia="ru-RU"/>
                </w:rPr>
                <w:t>https://chern.maup.com.ua/wp-content/uploads/2024/02/2024_bezzubko-l.v.-portfolio_-1.pdf</w:t>
              </w:r>
            </w:hyperlink>
            <w:r w:rsidRPr="00D35D24">
              <w:rPr>
                <w:rFonts w:ascii="Times New Roman" w:hAnsi="Times New Roman" w:cs="Times New Roman"/>
                <w:sz w:val="24"/>
                <w:szCs w:val="24"/>
                <w:lang w:val="uk-UA" w:eastAsia="ru-RU"/>
              </w:rPr>
              <w:t xml:space="preserve"> </w:t>
            </w:r>
          </w:p>
        </w:tc>
      </w:tr>
    </w:tbl>
    <w:p w14:paraId="2D655E36" w14:textId="77777777" w:rsidR="003E10B7" w:rsidRDefault="003E10B7">
      <w:pPr>
        <w:widowControl w:val="0"/>
        <w:jc w:val="both"/>
        <w:rPr>
          <w:b/>
          <w:bCs/>
          <w:sz w:val="28"/>
          <w:szCs w:val="28"/>
        </w:rPr>
      </w:pPr>
    </w:p>
    <w:p w14:paraId="24DBFB96" w14:textId="77777777" w:rsidR="003E10B7" w:rsidRDefault="00000000">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Discipline’s description. </w:t>
      </w:r>
    </w:p>
    <w:p w14:paraId="264F6549"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At the current (digital) stage of economic and social development, it is important to train specialists who are capable of solving complex specialised tasks and practical </w:t>
      </w:r>
      <w:r>
        <w:rPr>
          <w:rFonts w:ascii="Times New Roman" w:eastAsia="Times New Roman" w:hAnsi="Times New Roman" w:cs="Times New Roman"/>
          <w:sz w:val="28"/>
          <w:szCs w:val="28"/>
        </w:rPr>
        <w:lastRenderedPageBreak/>
        <w:t>problems related to the innovative and investment development of organisations, regions and the state.</w:t>
      </w:r>
    </w:p>
    <w:p w14:paraId="4EED7969" w14:textId="77777777" w:rsidR="003E10B7" w:rsidRDefault="003E10B7">
      <w:pPr>
        <w:spacing w:after="0" w:line="240" w:lineRule="auto"/>
        <w:jc w:val="both"/>
        <w:rPr>
          <w:rFonts w:ascii="Times New Roman" w:eastAsia="Times New Roman" w:hAnsi="Times New Roman" w:cs="Times New Roman"/>
          <w:b/>
          <w:bCs/>
          <w:sz w:val="28"/>
          <w:szCs w:val="28"/>
        </w:rPr>
      </w:pPr>
    </w:p>
    <w:p w14:paraId="07578D76"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subject of discipline</w:t>
      </w:r>
      <w:r>
        <w:rPr>
          <w:sz w:val="28"/>
          <w:szCs w:val="28"/>
        </w:rPr>
        <w:t xml:space="preserve"> </w:t>
      </w:r>
      <w:r>
        <w:rPr>
          <w:rFonts w:ascii="Times New Roman" w:eastAsia="Times New Roman" w:hAnsi="Times New Roman" w:cs="Times New Roman"/>
          <w:sz w:val="28"/>
          <w:szCs w:val="28"/>
        </w:rPr>
        <w:t>is a set of theoretical, methodological, and practical issues related to the innovation and investment activities of business structures and public institutions.</w:t>
      </w:r>
    </w:p>
    <w:p w14:paraId="44DA92F3"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 acquire skills in critical, strategic, and analytical thinking, research work, and interaction in working groups, and to develop decision-making skills in the preparation and implementation of innovation and investment projects, applicants within the framework of study the discipline by completing individual and group assignments, working with real cases and relevant databases.</w:t>
      </w:r>
    </w:p>
    <w:p w14:paraId="10445F21" w14:textId="77777777" w:rsidR="003E10B7" w:rsidRDefault="003E10B7">
      <w:pPr>
        <w:spacing w:after="0" w:line="240" w:lineRule="auto"/>
        <w:jc w:val="both"/>
        <w:rPr>
          <w:rFonts w:ascii="Times New Roman" w:eastAsia="Times New Roman" w:hAnsi="Times New Roman" w:cs="Times New Roman"/>
          <w:b/>
          <w:bCs/>
          <w:sz w:val="28"/>
          <w:szCs w:val="28"/>
        </w:rPr>
      </w:pPr>
    </w:p>
    <w:p w14:paraId="2A022937"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aim of the discipline</w:t>
      </w:r>
      <w:r>
        <w:rPr>
          <w:sz w:val="28"/>
          <w:szCs w:val="28"/>
        </w:rPr>
        <w:t xml:space="preserve"> </w:t>
      </w:r>
      <w:r>
        <w:rPr>
          <w:rFonts w:ascii="Times New Roman" w:eastAsia="Times New Roman" w:hAnsi="Times New Roman" w:cs="Times New Roman"/>
          <w:sz w:val="28"/>
          <w:szCs w:val="28"/>
        </w:rPr>
        <w:t>is to provide students with a system of knowledge about the content and patterns of innovative economic development, the innovation and investment activities of modern business structures and public institutions, an understanding of the mechanisms of state regulation of innovation and investment activities, as well as the skills and abilities necessary for the effective management of innovation and investment processes in the digital age.</w:t>
      </w:r>
    </w:p>
    <w:p w14:paraId="2FF3ED9C" w14:textId="77777777" w:rsidR="003E10B7" w:rsidRDefault="003E10B7">
      <w:pPr>
        <w:spacing w:after="0" w:line="240" w:lineRule="auto"/>
        <w:jc w:val="both"/>
        <w:rPr>
          <w:rFonts w:ascii="Times New Roman" w:eastAsia="Times New Roman" w:hAnsi="Times New Roman" w:cs="Times New Roman"/>
          <w:b/>
          <w:bCs/>
          <w:sz w:val="28"/>
          <w:szCs w:val="28"/>
        </w:rPr>
      </w:pPr>
    </w:p>
    <w:p w14:paraId="3BEF5037" w14:textId="77777777" w:rsidR="003E10B7" w:rsidRDefault="00000000">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The objectives of the discipline: </w:t>
      </w:r>
    </w:p>
    <w:p w14:paraId="66E51FF3" w14:textId="77777777" w:rsidR="003E10B7"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Ensure an understanding of the essence, principles and tools of innovation and investment management, </w:t>
      </w:r>
    </w:p>
    <w:p w14:paraId="7F07A289" w14:textId="77777777" w:rsidR="003E10B7"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Teach students to apply modern methods of analysis and evaluation of the innovation and investment activities of an enterprise, and to develop and implement innovative development strategies. </w:t>
      </w:r>
    </w:p>
    <w:p w14:paraId="62F36C3C" w14:textId="77777777" w:rsidR="003E10B7"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Promote the acquisition of skills in the development and management of investment projects, effective management decisions in the field of innovation and investment, and the organisation of the process of innovation implementation in an enterprise. </w:t>
      </w:r>
    </w:p>
    <w:p w14:paraId="2F8C2D6A" w14:textId="77777777" w:rsidR="003E10B7"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Familiarise students with approaches to evaluating the effectiveness of innovation and investment activities at the level of the enterprise and the organisation as a whole.</w:t>
      </w:r>
    </w:p>
    <w:p w14:paraId="2FB6F966" w14:textId="77777777" w:rsidR="003E10B7" w:rsidRDefault="003E10B7">
      <w:pPr>
        <w:spacing w:after="0" w:line="240" w:lineRule="auto"/>
        <w:jc w:val="both"/>
        <w:rPr>
          <w:rFonts w:ascii="Times New Roman" w:eastAsia="Times New Roman" w:hAnsi="Times New Roman" w:cs="Times New Roman"/>
          <w:b/>
          <w:bCs/>
          <w:sz w:val="28"/>
          <w:szCs w:val="28"/>
        </w:rPr>
      </w:pPr>
    </w:p>
    <w:p w14:paraId="198A993F"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Prerequisites for the academic discipline.</w:t>
      </w:r>
      <w:r>
        <w:rPr>
          <w:rFonts w:ascii="Times New Roman" w:eastAsia="Times New Roman" w:hAnsi="Times New Roman" w:cs="Times New Roman"/>
          <w:sz w:val="28"/>
          <w:szCs w:val="28"/>
        </w:rPr>
        <w:t xml:space="preserve"> </w:t>
      </w:r>
    </w:p>
    <w:p w14:paraId="7525BB88"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study of the academic discipline “Innovation and investment management” is based on the knowledge and skills acquired by students in the study of the following disciplines: "Enterprise Economics", "Management", "Enterprise Finance", "Investing", "Innovation Management" and others.</w:t>
      </w:r>
    </w:p>
    <w:p w14:paraId="439852B5" w14:textId="77777777" w:rsidR="003E10B7" w:rsidRDefault="003E10B7">
      <w:pPr>
        <w:spacing w:after="0" w:line="240" w:lineRule="auto"/>
        <w:jc w:val="both"/>
        <w:rPr>
          <w:rFonts w:ascii="Times New Roman" w:eastAsia="Times New Roman" w:hAnsi="Times New Roman" w:cs="Times New Roman"/>
          <w:b/>
          <w:bCs/>
          <w:sz w:val="28"/>
          <w:szCs w:val="28"/>
        </w:rPr>
      </w:pPr>
    </w:p>
    <w:p w14:paraId="45A9BECC"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Post-requisites for the academic discipline</w:t>
      </w:r>
      <w:r>
        <w:rPr>
          <w:rFonts w:ascii="Times New Roman" w:eastAsia="Times New Roman" w:hAnsi="Times New Roman" w:cs="Times New Roman"/>
          <w:sz w:val="28"/>
          <w:szCs w:val="28"/>
        </w:rPr>
        <w:t xml:space="preserve">. </w:t>
      </w:r>
    </w:p>
    <w:p w14:paraId="1C09782C"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knowledge and skills acquired by students in the course of studying the academic discipline “Innovation and investment management” ensure successful mastery of other disciplines focused on the formation of professional competencies in the field of management, in particular: "Project Management", "Risk Management" and others.</w:t>
      </w:r>
    </w:p>
    <w:p w14:paraId="3253DE37" w14:textId="77777777" w:rsidR="003E10B7" w:rsidRDefault="003E10B7">
      <w:pPr>
        <w:widowControl w:val="0"/>
        <w:pBdr>
          <w:top w:val="nil"/>
          <w:left w:val="nil"/>
          <w:bottom w:val="nil"/>
          <w:right w:val="nil"/>
          <w:between w:val="nil"/>
        </w:pBdr>
        <w:spacing w:after="0" w:line="240" w:lineRule="auto"/>
        <w:jc w:val="both"/>
        <w:rPr>
          <w:rFonts w:ascii="Times New Roman" w:eastAsia="Times New Roman" w:hAnsi="Times New Roman" w:cs="Times New Roman"/>
          <w:b/>
          <w:bCs/>
          <w:color w:val="000000"/>
          <w:sz w:val="28"/>
          <w:szCs w:val="28"/>
        </w:rPr>
      </w:pPr>
    </w:p>
    <w:p w14:paraId="5680C097" w14:textId="77777777" w:rsidR="003E10B7"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Program competences</w:t>
      </w:r>
    </w:p>
    <w:tbl>
      <w:tblPr>
        <w:tblStyle w:val="af4"/>
        <w:tblpPr w:leftFromText="180" w:rightFromText="180" w:vertAnchor="text" w:tblpX="153" w:tblpY="50"/>
        <w:tblW w:w="9606" w:type="dxa"/>
        <w:tblInd w:w="0" w:type="dxa"/>
        <w:tblLayout w:type="fixed"/>
        <w:tblLook w:val="0400" w:firstRow="0" w:lastRow="0" w:firstColumn="0" w:lastColumn="0" w:noHBand="0" w:noVBand="1"/>
      </w:tblPr>
      <w:tblGrid>
        <w:gridCol w:w="1995"/>
        <w:gridCol w:w="7611"/>
      </w:tblGrid>
      <w:tr w:rsidR="003E10B7" w14:paraId="611A9834"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24694E2E"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General competences</w:t>
            </w:r>
          </w:p>
        </w:tc>
        <w:tc>
          <w:tcPr>
            <w:tcW w:w="7611" w:type="dxa"/>
            <w:tcBorders>
              <w:top w:val="single" w:sz="4" w:space="0" w:color="000000"/>
              <w:left w:val="single" w:sz="4" w:space="0" w:color="000000"/>
              <w:bottom w:val="single" w:sz="4" w:space="0" w:color="000000"/>
              <w:right w:val="single" w:sz="4" w:space="0" w:color="000000"/>
            </w:tcBorders>
          </w:tcPr>
          <w:p w14:paraId="76E8EEB5"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GC6. </w:t>
            </w:r>
            <w:r>
              <w:rPr>
                <w:rFonts w:ascii="Times New Roman" w:eastAsia="Times New Roman" w:hAnsi="Times New Roman" w:cs="Times New Roman"/>
                <w:color w:val="000000"/>
                <w:sz w:val="28"/>
                <w:szCs w:val="28"/>
              </w:rPr>
              <w:t xml:space="preserve"> Ability to generate new ideas (creativity</w:t>
            </w:r>
            <w:r>
              <w:rPr>
                <w:rFonts w:ascii="Times New Roman" w:eastAsia="Times New Roman" w:hAnsi="Times New Roman" w:cs="Times New Roman"/>
                <w:sz w:val="28"/>
                <w:szCs w:val="28"/>
              </w:rPr>
              <w:t>).</w:t>
            </w:r>
          </w:p>
        </w:tc>
      </w:tr>
      <w:tr w:rsidR="003E10B7" w14:paraId="6169665D"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544DE5DF" w14:textId="77777777" w:rsidR="003E10B7" w:rsidRDefault="00000000">
            <w:pPr>
              <w:spacing w:after="0" w:line="240" w:lineRule="auto"/>
              <w:jc w:val="both"/>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t>Special competences</w:t>
            </w:r>
          </w:p>
          <w:p w14:paraId="4B7873D4" w14:textId="77777777" w:rsidR="003E10B7" w:rsidRDefault="003E10B7">
            <w:pPr>
              <w:spacing w:after="0" w:line="240" w:lineRule="auto"/>
              <w:jc w:val="both"/>
              <w:rPr>
                <w:rFonts w:ascii="Times New Roman" w:eastAsia="Times New Roman" w:hAnsi="Times New Roman" w:cs="Times New Roman"/>
                <w:b/>
                <w:bCs/>
                <w:sz w:val="28"/>
                <w:szCs w:val="28"/>
                <w:highlight w:val="yellow"/>
              </w:rPr>
            </w:pPr>
          </w:p>
        </w:tc>
        <w:tc>
          <w:tcPr>
            <w:tcW w:w="7611" w:type="dxa"/>
            <w:tcBorders>
              <w:top w:val="single" w:sz="4" w:space="0" w:color="000000"/>
              <w:left w:val="single" w:sz="4" w:space="0" w:color="000000"/>
              <w:bottom w:val="single" w:sz="4" w:space="0" w:color="000000"/>
              <w:right w:val="single" w:sz="4" w:space="0" w:color="000000"/>
            </w:tcBorders>
          </w:tcPr>
          <w:p w14:paraId="6700615B" w14:textId="77777777" w:rsidR="003E10B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SC4. Ability to effectively use and develop the resources of the organization and enterprise. </w:t>
            </w:r>
          </w:p>
          <w:p w14:paraId="14A3DBFE"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SC5. Ability to create and organize effective communications in the management process</w:t>
            </w:r>
            <w:r>
              <w:rPr>
                <w:rFonts w:ascii="Times New Roman" w:eastAsia="Times New Roman" w:hAnsi="Times New Roman" w:cs="Times New Roman"/>
                <w:sz w:val="28"/>
                <w:szCs w:val="28"/>
              </w:rPr>
              <w:t xml:space="preserve">. </w:t>
            </w:r>
          </w:p>
          <w:p w14:paraId="6D3B6361"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SC7. </w:t>
            </w:r>
            <w:r>
              <w:rPr>
                <w:rFonts w:ascii="Times New Roman" w:eastAsia="Times New Roman" w:hAnsi="Times New Roman" w:cs="Times New Roman"/>
                <w:color w:val="000000"/>
                <w:sz w:val="28"/>
                <w:szCs w:val="28"/>
              </w:rPr>
              <w:t xml:space="preserve"> Ability to develop business development projects, manage them, show initiative and </w:t>
            </w:r>
            <w:proofErr w:type="gramStart"/>
            <w:r>
              <w:rPr>
                <w:rFonts w:ascii="Times New Roman" w:eastAsia="Times New Roman" w:hAnsi="Times New Roman" w:cs="Times New Roman"/>
                <w:color w:val="000000"/>
                <w:sz w:val="28"/>
                <w:szCs w:val="28"/>
              </w:rPr>
              <w:t>entrepreneurship</w:t>
            </w:r>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 xml:space="preserve"> </w:t>
            </w:r>
          </w:p>
          <w:p w14:paraId="1A6084B7"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SC11. Ability to create and manage start-ups, attract investment capital for the implementation of innovative projects.</w:t>
            </w:r>
          </w:p>
          <w:p w14:paraId="03D0195B"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SC12. Ability to develop and apply methods and technologies for strategic management of the organization and commercialization of innovations under conditions of uncertainty and risk.</w:t>
            </w:r>
          </w:p>
        </w:tc>
      </w:tr>
      <w:tr w:rsidR="003E10B7" w14:paraId="0CAA0D8A"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2388E15E" w14:textId="77777777" w:rsidR="003E10B7" w:rsidRDefault="00000000">
            <w:pPr>
              <w:spacing w:after="0" w:line="240" w:lineRule="auto"/>
              <w:jc w:val="both"/>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t>Intended earning outcomes</w:t>
            </w:r>
          </w:p>
          <w:p w14:paraId="553A95FC" w14:textId="77777777" w:rsidR="003E10B7" w:rsidRDefault="003E10B7">
            <w:pPr>
              <w:spacing w:after="0" w:line="240" w:lineRule="auto"/>
              <w:jc w:val="both"/>
              <w:rPr>
                <w:rFonts w:ascii="Times New Roman" w:eastAsia="Times New Roman" w:hAnsi="Times New Roman" w:cs="Times New Roman"/>
                <w:sz w:val="28"/>
                <w:szCs w:val="28"/>
              </w:rPr>
            </w:pPr>
          </w:p>
        </w:tc>
        <w:tc>
          <w:tcPr>
            <w:tcW w:w="7611" w:type="dxa"/>
            <w:tcBorders>
              <w:top w:val="single" w:sz="4" w:space="0" w:color="000000"/>
              <w:left w:val="single" w:sz="4" w:space="0" w:color="000000"/>
              <w:bottom w:val="single" w:sz="4" w:space="0" w:color="000000"/>
              <w:right w:val="single" w:sz="4" w:space="0" w:color="000000"/>
            </w:tcBorders>
          </w:tcPr>
          <w:p w14:paraId="4398BF49"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ILO4.  Justify and manage projects, generate entrepreneurial ideas. </w:t>
            </w:r>
          </w:p>
          <w:p w14:paraId="55EF2C15"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ILO10. Demonstrate leadership skills and the ability to work in a team, interact with people, influence their </w:t>
            </w:r>
            <w:proofErr w:type="spellStart"/>
            <w:r>
              <w:rPr>
                <w:rFonts w:ascii="Times New Roman" w:eastAsia="Times New Roman" w:hAnsi="Times New Roman" w:cs="Times New Roman"/>
                <w:sz w:val="28"/>
                <w:szCs w:val="28"/>
              </w:rPr>
              <w:t>behavior</w:t>
            </w:r>
            <w:proofErr w:type="spellEnd"/>
            <w:r>
              <w:rPr>
                <w:rFonts w:ascii="Times New Roman" w:eastAsia="Times New Roman" w:hAnsi="Times New Roman" w:cs="Times New Roman"/>
                <w:sz w:val="28"/>
                <w:szCs w:val="28"/>
              </w:rPr>
              <w:t xml:space="preserve"> to solve professional problems. </w:t>
            </w:r>
          </w:p>
          <w:p w14:paraId="537B164B"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ILO12. To be able to delegate authority and management of the organization (unit). </w:t>
            </w:r>
          </w:p>
          <w:p w14:paraId="34130DF8"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ILO14.  Initiate and implement changes to the management system and business model of the organization in accordance with digital changes in the environment and compliance with intellectual property rights.</w:t>
            </w:r>
          </w:p>
          <w:p w14:paraId="5A0BAAF3" w14:textId="77777777" w:rsidR="003E10B7"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ILO16. Demonstrate project management skills, quality management methods and strategic management technologies to achieve organizational goals.</w:t>
            </w:r>
          </w:p>
        </w:tc>
      </w:tr>
    </w:tbl>
    <w:p w14:paraId="72D611C4" w14:textId="77777777" w:rsidR="003E10B7" w:rsidRDefault="003E10B7">
      <w:pPr>
        <w:spacing w:after="0" w:line="240" w:lineRule="auto"/>
        <w:jc w:val="both"/>
        <w:rPr>
          <w:rFonts w:ascii="Times New Roman" w:eastAsia="Times New Roman" w:hAnsi="Times New Roman" w:cs="Times New Roman"/>
          <w:sz w:val="28"/>
          <w:szCs w:val="28"/>
        </w:rPr>
      </w:pPr>
    </w:p>
    <w:p w14:paraId="1974739B" w14:textId="77777777" w:rsidR="003E10B7" w:rsidRDefault="00000000">
      <w:pPr>
        <w:widowControl w:val="0"/>
        <w:jc w:val="center"/>
        <w:rPr>
          <w:rFonts w:ascii="Times New Roman" w:eastAsia="Times New Roman" w:hAnsi="Times New Roman" w:cs="Times New Roman"/>
          <w:b/>
          <w:bCs/>
          <w:sz w:val="28"/>
          <w:szCs w:val="28"/>
          <w:highlight w:val="white"/>
        </w:rPr>
      </w:pPr>
      <w:r>
        <w:rPr>
          <w:rFonts w:ascii="Times New Roman" w:eastAsia="Times New Roman" w:hAnsi="Times New Roman" w:cs="Times New Roman"/>
          <w:b/>
          <w:bCs/>
          <w:sz w:val="28"/>
          <w:szCs w:val="28"/>
          <w:highlight w:val="white"/>
        </w:rPr>
        <w:t>Content of the academic discipline</w:t>
      </w:r>
    </w:p>
    <w:tbl>
      <w:tblPr>
        <w:tblStyle w:val="af5"/>
        <w:tblpPr w:leftFromText="180" w:rightFromText="180" w:vertAnchor="text" w:tblpX="160" w:tblpY="197"/>
        <w:tblW w:w="9606" w:type="dxa"/>
        <w:tblInd w:w="0" w:type="dxa"/>
        <w:tblLayout w:type="fixed"/>
        <w:tblLook w:val="0400" w:firstRow="0" w:lastRow="0" w:firstColumn="0" w:lastColumn="0" w:noHBand="0" w:noVBand="1"/>
      </w:tblPr>
      <w:tblGrid>
        <w:gridCol w:w="1101"/>
        <w:gridCol w:w="3969"/>
        <w:gridCol w:w="567"/>
        <w:gridCol w:w="567"/>
        <w:gridCol w:w="567"/>
        <w:gridCol w:w="2835"/>
      </w:tblGrid>
      <w:tr w:rsidR="003E10B7" w14:paraId="3C025078" w14:textId="77777777">
        <w:trPr>
          <w:trHeight w:val="303"/>
        </w:trPr>
        <w:tc>
          <w:tcPr>
            <w:tcW w:w="1101" w:type="dxa"/>
            <w:vMerge w:val="restart"/>
            <w:tcBorders>
              <w:top w:val="single" w:sz="4" w:space="0" w:color="000000"/>
              <w:left w:val="single" w:sz="4" w:space="0" w:color="000000"/>
              <w:bottom w:val="single" w:sz="4" w:space="0" w:color="000000"/>
              <w:right w:val="single" w:sz="4" w:space="0" w:color="000000"/>
            </w:tcBorders>
            <w:vAlign w:val="center"/>
          </w:tcPr>
          <w:p w14:paraId="2383CE43"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w:t>
            </w:r>
          </w:p>
        </w:tc>
        <w:tc>
          <w:tcPr>
            <w:tcW w:w="3969" w:type="dxa"/>
            <w:vMerge w:val="restart"/>
            <w:tcBorders>
              <w:top w:val="single" w:sz="4" w:space="0" w:color="000000"/>
              <w:left w:val="single" w:sz="4" w:space="0" w:color="000000"/>
              <w:bottom w:val="single" w:sz="4" w:space="0" w:color="000000"/>
              <w:right w:val="single" w:sz="4" w:space="0" w:color="000000"/>
            </w:tcBorders>
            <w:vAlign w:val="center"/>
          </w:tcPr>
          <w:p w14:paraId="128CA8B9"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Topics</w:t>
            </w:r>
          </w:p>
        </w:tc>
        <w:tc>
          <w:tcPr>
            <w:tcW w:w="4536" w:type="dxa"/>
            <w:gridSpan w:val="4"/>
            <w:tcBorders>
              <w:top w:val="single" w:sz="4" w:space="0" w:color="000000"/>
              <w:left w:val="single" w:sz="4" w:space="0" w:color="000000"/>
              <w:bottom w:val="single" w:sz="4" w:space="0" w:color="000000"/>
              <w:right w:val="single" w:sz="4" w:space="0" w:color="000000"/>
            </w:tcBorders>
            <w:vAlign w:val="center"/>
          </w:tcPr>
          <w:p w14:paraId="39318684"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 xml:space="preserve">Number of hours, of </w:t>
            </w:r>
            <w:proofErr w:type="gramStart"/>
            <w:r>
              <w:rPr>
                <w:rFonts w:ascii="Times New Roman" w:eastAsia="Times New Roman" w:hAnsi="Times New Roman" w:cs="Times New Roman"/>
                <w:b/>
                <w:bCs/>
                <w:sz w:val="24"/>
                <w:szCs w:val="24"/>
              </w:rPr>
              <w:t>which :</w:t>
            </w:r>
            <w:proofErr w:type="gramEnd"/>
          </w:p>
        </w:tc>
      </w:tr>
      <w:tr w:rsidR="003E10B7" w14:paraId="08CD7285" w14:textId="77777777">
        <w:trPr>
          <w:trHeight w:val="1371"/>
        </w:trPr>
        <w:tc>
          <w:tcPr>
            <w:tcW w:w="1101" w:type="dxa"/>
            <w:vMerge/>
            <w:tcBorders>
              <w:top w:val="single" w:sz="4" w:space="0" w:color="000000"/>
              <w:left w:val="single" w:sz="4" w:space="0" w:color="000000"/>
              <w:bottom w:val="single" w:sz="4" w:space="0" w:color="000000"/>
              <w:right w:val="single" w:sz="4" w:space="0" w:color="000000"/>
            </w:tcBorders>
            <w:vAlign w:val="center"/>
          </w:tcPr>
          <w:p w14:paraId="3FD5CF41"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3969" w:type="dxa"/>
            <w:vMerge/>
            <w:tcBorders>
              <w:top w:val="single" w:sz="4" w:space="0" w:color="000000"/>
              <w:left w:val="single" w:sz="4" w:space="0" w:color="000000"/>
              <w:bottom w:val="single" w:sz="4" w:space="0" w:color="000000"/>
              <w:right w:val="single" w:sz="4" w:space="0" w:color="000000"/>
            </w:tcBorders>
            <w:vAlign w:val="center"/>
          </w:tcPr>
          <w:p w14:paraId="087CCB48"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68F3464"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Lectures</w:t>
            </w:r>
          </w:p>
        </w:tc>
        <w:tc>
          <w:tcPr>
            <w:tcW w:w="567" w:type="dxa"/>
            <w:tcBorders>
              <w:top w:val="single" w:sz="4" w:space="0" w:color="000000"/>
              <w:left w:val="single" w:sz="4" w:space="0" w:color="000000"/>
              <w:bottom w:val="single" w:sz="4" w:space="0" w:color="000000"/>
            </w:tcBorders>
            <w:vAlign w:val="center"/>
          </w:tcPr>
          <w:p w14:paraId="2ED9B2C0" w14:textId="77777777" w:rsidR="003E10B7"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4"/>
                <w:szCs w:val="24"/>
              </w:rPr>
              <w:t>Seminars</w:t>
            </w:r>
          </w:p>
        </w:tc>
        <w:tc>
          <w:tcPr>
            <w:tcW w:w="567" w:type="dxa"/>
            <w:tcBorders>
              <w:top w:val="single" w:sz="4" w:space="0" w:color="000000"/>
              <w:left w:val="single" w:sz="4" w:space="0" w:color="000000"/>
              <w:bottom w:val="single" w:sz="4" w:space="0" w:color="000000"/>
            </w:tcBorders>
            <w:vAlign w:val="center"/>
          </w:tcPr>
          <w:p w14:paraId="70AB4218"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Independent work</w:t>
            </w:r>
          </w:p>
        </w:tc>
        <w:tc>
          <w:tcPr>
            <w:tcW w:w="2835" w:type="dxa"/>
            <w:tcBorders>
              <w:top w:val="single" w:sz="4" w:space="0" w:color="000000"/>
              <w:left w:val="single" w:sz="4" w:space="0" w:color="000000"/>
              <w:bottom w:val="single" w:sz="4" w:space="0" w:color="000000"/>
              <w:right w:val="single" w:sz="4" w:space="0" w:color="000000"/>
            </w:tcBorders>
            <w:vAlign w:val="center"/>
          </w:tcPr>
          <w:p w14:paraId="75138475"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Teaching methods /assessment methods</w:t>
            </w:r>
          </w:p>
        </w:tc>
      </w:tr>
      <w:tr w:rsidR="003E10B7" w14:paraId="3383809C" w14:textId="77777777">
        <w:trPr>
          <w:trHeight w:val="325"/>
        </w:trPr>
        <w:tc>
          <w:tcPr>
            <w:tcW w:w="6771" w:type="dxa"/>
            <w:gridSpan w:val="5"/>
            <w:tcBorders>
              <w:top w:val="single" w:sz="4" w:space="0" w:color="000000"/>
              <w:left w:val="single" w:sz="4" w:space="0" w:color="000000"/>
              <w:bottom w:val="single" w:sz="4" w:space="0" w:color="000000"/>
            </w:tcBorders>
          </w:tcPr>
          <w:p w14:paraId="4CAF0F17" w14:textId="77777777" w:rsidR="003E10B7"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1st semester</w:t>
            </w:r>
          </w:p>
          <w:p w14:paraId="72E2B6BA" w14:textId="77777777" w:rsidR="003E10B7"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b/>
                <w:bCs/>
                <w:sz w:val="28"/>
                <w:szCs w:val="28"/>
              </w:rPr>
              <w:t>Content module 1. Theoretical foundations of innovation and investment management.</w:t>
            </w:r>
          </w:p>
        </w:tc>
        <w:tc>
          <w:tcPr>
            <w:tcW w:w="2835" w:type="dxa"/>
            <w:vMerge w:val="restart"/>
            <w:tcBorders>
              <w:top w:val="single" w:sz="4" w:space="0" w:color="000000"/>
              <w:left w:val="single" w:sz="4" w:space="0" w:color="000000"/>
              <w:right w:val="single" w:sz="4" w:space="0" w:color="000000"/>
            </w:tcBorders>
          </w:tcPr>
          <w:p w14:paraId="7E88E172" w14:textId="77777777" w:rsidR="003E10B7"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Teaching methods: </w:t>
            </w:r>
            <w:r>
              <w:rPr>
                <w:rFonts w:ascii="Times New Roman" w:eastAsia="Times New Roman" w:hAnsi="Times New Roman" w:cs="Times New Roman"/>
                <w:sz w:val="24"/>
                <w:szCs w:val="24"/>
              </w:rPr>
              <w:t>verbal (lectures; conversations; educational discussions); inductive method; deductive method; analytical; synthetic; reproductive; problem-based method; partial-</w:t>
            </w:r>
            <w:r>
              <w:rPr>
                <w:rFonts w:ascii="Times New Roman" w:eastAsia="Times New Roman" w:hAnsi="Times New Roman" w:cs="Times New Roman"/>
                <w:sz w:val="24"/>
                <w:szCs w:val="24"/>
              </w:rPr>
              <w:lastRenderedPageBreak/>
              <w:t>search; research; interactive methods (situation analysis; discussions, debates, polemics; dialogue, synthesis of opinions; brainstorming; skills practice; situational modelling, discussion questions); modelling of professional activity; innovative teaching methods (competence-based; project-based research); case method.</w:t>
            </w:r>
          </w:p>
          <w:p w14:paraId="643DD78F" w14:textId="77777777" w:rsidR="003E10B7" w:rsidRDefault="00000000">
            <w:pPr>
              <w:widowControl w:val="0"/>
              <w:spacing w:after="0" w:line="240" w:lineRule="auto"/>
              <w:jc w:val="both"/>
              <w:rPr>
                <w:rFonts w:ascii="Times New Roman" w:eastAsia="Times New Roman" w:hAnsi="Times New Roman" w:cs="Times New Roman"/>
                <w:sz w:val="24"/>
                <w:szCs w:val="24"/>
                <w:highlight w:val="yellow"/>
              </w:rPr>
            </w:pPr>
            <w:r>
              <w:rPr>
                <w:rFonts w:ascii="Times New Roman" w:eastAsia="Times New Roman" w:hAnsi="Times New Roman" w:cs="Times New Roman"/>
                <w:b/>
                <w:bCs/>
                <w:sz w:val="24"/>
                <w:szCs w:val="24"/>
              </w:rPr>
              <w:t xml:space="preserve">Assessment methods: </w:t>
            </w:r>
            <w:r>
              <w:rPr>
                <w:rFonts w:ascii="Times New Roman" w:eastAsia="Times New Roman" w:hAnsi="Times New Roman" w:cs="Times New Roman"/>
                <w:sz w:val="24"/>
                <w:szCs w:val="24"/>
              </w:rPr>
              <w:t>oral assessment (oral questioning, assessment of participation in discussions and other interactive teaching methods); written assessment (tests, independent work, reports, essays); test control (closed-form tests: alternative tests, matching tests); self-control and self-assessment method; assessment of case tasks.</w:t>
            </w:r>
          </w:p>
        </w:tc>
      </w:tr>
      <w:tr w:rsidR="003E10B7" w14:paraId="140491B0" w14:textId="77777777">
        <w:trPr>
          <w:trHeight w:val="592"/>
        </w:trPr>
        <w:tc>
          <w:tcPr>
            <w:tcW w:w="1101" w:type="dxa"/>
            <w:tcBorders>
              <w:top w:val="single" w:sz="4" w:space="0" w:color="000000"/>
              <w:left w:val="single" w:sz="4" w:space="0" w:color="000000"/>
              <w:bottom w:val="single" w:sz="4" w:space="0" w:color="000000"/>
              <w:right w:val="single" w:sz="4" w:space="0" w:color="000000"/>
            </w:tcBorders>
          </w:tcPr>
          <w:p w14:paraId="56E9BD95" w14:textId="77777777" w:rsidR="003E10B7"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Topic 1</w:t>
            </w:r>
          </w:p>
        </w:tc>
        <w:tc>
          <w:tcPr>
            <w:tcW w:w="3969" w:type="dxa"/>
            <w:tcBorders>
              <w:top w:val="single" w:sz="4" w:space="0" w:color="000000"/>
              <w:left w:val="single" w:sz="4" w:space="0" w:color="000000"/>
              <w:bottom w:val="single" w:sz="4" w:space="0" w:color="000000"/>
              <w:right w:val="single" w:sz="4" w:space="0" w:color="000000"/>
            </w:tcBorders>
          </w:tcPr>
          <w:p w14:paraId="601ADFF5"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Concept, essence and classification of innovations and investments.</w:t>
            </w:r>
          </w:p>
        </w:tc>
        <w:tc>
          <w:tcPr>
            <w:tcW w:w="567" w:type="dxa"/>
            <w:tcBorders>
              <w:top w:val="single" w:sz="4" w:space="0" w:color="000000"/>
              <w:left w:val="single" w:sz="4" w:space="0" w:color="000000"/>
              <w:bottom w:val="single" w:sz="4" w:space="0" w:color="000000"/>
              <w:right w:val="single" w:sz="4" w:space="0" w:color="000000"/>
            </w:tcBorders>
          </w:tcPr>
          <w:p w14:paraId="020EAA40"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07A6107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08D2C6C8"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835" w:type="dxa"/>
            <w:vMerge/>
            <w:tcBorders>
              <w:top w:val="single" w:sz="4" w:space="0" w:color="000000"/>
              <w:left w:val="single" w:sz="4" w:space="0" w:color="000000"/>
              <w:right w:val="single" w:sz="4" w:space="0" w:color="000000"/>
            </w:tcBorders>
          </w:tcPr>
          <w:p w14:paraId="1920A271"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2E0919AA"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0E55C836" w14:textId="77777777" w:rsidR="003E10B7"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Topic 2</w:t>
            </w:r>
          </w:p>
        </w:tc>
        <w:tc>
          <w:tcPr>
            <w:tcW w:w="3969" w:type="dxa"/>
            <w:tcBorders>
              <w:top w:val="single" w:sz="4" w:space="0" w:color="000000"/>
              <w:left w:val="single" w:sz="4" w:space="0" w:color="000000"/>
              <w:bottom w:val="single" w:sz="4" w:space="0" w:color="000000"/>
              <w:right w:val="single" w:sz="4" w:space="0" w:color="000000"/>
            </w:tcBorders>
          </w:tcPr>
          <w:p w14:paraId="0BEE66BC"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 xml:space="preserve">Innovation and investment </w:t>
            </w:r>
            <w:r>
              <w:rPr>
                <w:rFonts w:ascii="Times New Roman" w:eastAsia="Times New Roman" w:hAnsi="Times New Roman" w:cs="Times New Roman"/>
                <w:sz w:val="28"/>
                <w:szCs w:val="28"/>
              </w:rPr>
              <w:lastRenderedPageBreak/>
              <w:t>activities of enterprises in modern market conditions.</w:t>
            </w:r>
          </w:p>
        </w:tc>
        <w:tc>
          <w:tcPr>
            <w:tcW w:w="567" w:type="dxa"/>
            <w:tcBorders>
              <w:top w:val="single" w:sz="4" w:space="0" w:color="000000"/>
              <w:left w:val="single" w:sz="4" w:space="0" w:color="000000"/>
              <w:bottom w:val="single" w:sz="4" w:space="0" w:color="000000"/>
              <w:right w:val="single" w:sz="4" w:space="0" w:color="000000"/>
            </w:tcBorders>
          </w:tcPr>
          <w:p w14:paraId="53E7E6B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4</w:t>
            </w:r>
          </w:p>
        </w:tc>
        <w:tc>
          <w:tcPr>
            <w:tcW w:w="567" w:type="dxa"/>
            <w:tcBorders>
              <w:top w:val="single" w:sz="4" w:space="0" w:color="000000"/>
              <w:left w:val="single" w:sz="4" w:space="0" w:color="000000"/>
              <w:bottom w:val="single" w:sz="4" w:space="0" w:color="000000"/>
            </w:tcBorders>
          </w:tcPr>
          <w:p w14:paraId="028B62C3"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3858899D"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2835" w:type="dxa"/>
            <w:vMerge/>
            <w:tcBorders>
              <w:top w:val="single" w:sz="4" w:space="0" w:color="000000"/>
              <w:left w:val="single" w:sz="4" w:space="0" w:color="000000"/>
              <w:right w:val="single" w:sz="4" w:space="0" w:color="000000"/>
            </w:tcBorders>
          </w:tcPr>
          <w:p w14:paraId="37A41D69"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79E68689"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2E2A6467"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3969" w:type="dxa"/>
            <w:tcBorders>
              <w:top w:val="single" w:sz="4" w:space="0" w:color="000000"/>
              <w:left w:val="single" w:sz="4" w:space="0" w:color="000000"/>
              <w:bottom w:val="single" w:sz="4" w:space="0" w:color="000000"/>
              <w:right w:val="single" w:sz="4" w:space="0" w:color="000000"/>
            </w:tcBorders>
          </w:tcPr>
          <w:p w14:paraId="2B5A8E7F"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Mechanisms and tools for innovation management.</w:t>
            </w:r>
          </w:p>
        </w:tc>
        <w:tc>
          <w:tcPr>
            <w:tcW w:w="567" w:type="dxa"/>
            <w:tcBorders>
              <w:top w:val="single" w:sz="4" w:space="0" w:color="000000"/>
              <w:left w:val="single" w:sz="4" w:space="0" w:color="000000"/>
              <w:bottom w:val="single" w:sz="4" w:space="0" w:color="000000"/>
              <w:right w:val="single" w:sz="4" w:space="0" w:color="000000"/>
            </w:tcBorders>
          </w:tcPr>
          <w:p w14:paraId="4C197820"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0822433D"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567" w:type="dxa"/>
            <w:tcBorders>
              <w:top w:val="single" w:sz="4" w:space="0" w:color="000000"/>
              <w:left w:val="single" w:sz="4" w:space="0" w:color="000000"/>
              <w:bottom w:val="single" w:sz="4" w:space="0" w:color="000000"/>
            </w:tcBorders>
          </w:tcPr>
          <w:p w14:paraId="257A25F2"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2835" w:type="dxa"/>
            <w:vMerge/>
            <w:tcBorders>
              <w:top w:val="single" w:sz="4" w:space="0" w:color="000000"/>
              <w:left w:val="single" w:sz="4" w:space="0" w:color="000000"/>
              <w:right w:val="single" w:sz="4" w:space="0" w:color="000000"/>
            </w:tcBorders>
          </w:tcPr>
          <w:p w14:paraId="5A0E83E3"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0D203B1F"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1BC42544"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3969" w:type="dxa"/>
            <w:tcBorders>
              <w:top w:val="single" w:sz="4" w:space="0" w:color="000000"/>
              <w:left w:val="single" w:sz="4" w:space="0" w:color="000000"/>
              <w:bottom w:val="single" w:sz="4" w:space="0" w:color="000000"/>
              <w:right w:val="single" w:sz="4" w:space="0" w:color="000000"/>
            </w:tcBorders>
          </w:tcPr>
          <w:p w14:paraId="4ED65FF8"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Investment resources and sources of their formation.</w:t>
            </w:r>
          </w:p>
        </w:tc>
        <w:tc>
          <w:tcPr>
            <w:tcW w:w="567" w:type="dxa"/>
            <w:tcBorders>
              <w:top w:val="single" w:sz="4" w:space="0" w:color="000000"/>
              <w:left w:val="single" w:sz="4" w:space="0" w:color="000000"/>
              <w:bottom w:val="single" w:sz="4" w:space="0" w:color="000000"/>
              <w:right w:val="single" w:sz="4" w:space="0" w:color="000000"/>
            </w:tcBorders>
          </w:tcPr>
          <w:p w14:paraId="112C84C3"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567" w:type="dxa"/>
            <w:tcBorders>
              <w:top w:val="single" w:sz="4" w:space="0" w:color="000000"/>
              <w:left w:val="single" w:sz="4" w:space="0" w:color="000000"/>
              <w:bottom w:val="single" w:sz="4" w:space="0" w:color="000000"/>
            </w:tcBorders>
          </w:tcPr>
          <w:p w14:paraId="73EDF43E"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0ABFF2B3"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835" w:type="dxa"/>
            <w:vMerge/>
            <w:tcBorders>
              <w:top w:val="single" w:sz="4" w:space="0" w:color="000000"/>
              <w:left w:val="single" w:sz="4" w:space="0" w:color="000000"/>
              <w:right w:val="single" w:sz="4" w:space="0" w:color="000000"/>
            </w:tcBorders>
          </w:tcPr>
          <w:p w14:paraId="00CE8064"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39C193E3"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2888CFFC"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3969" w:type="dxa"/>
            <w:tcBorders>
              <w:top w:val="single" w:sz="4" w:space="0" w:color="000000"/>
              <w:left w:val="single" w:sz="4" w:space="0" w:color="000000"/>
              <w:bottom w:val="single" w:sz="4" w:space="0" w:color="000000"/>
              <w:right w:val="single" w:sz="4" w:space="0" w:color="000000"/>
            </w:tcBorders>
          </w:tcPr>
          <w:p w14:paraId="239FAC9C"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Innovative strategy of the enterprise and its implementation.</w:t>
            </w:r>
          </w:p>
        </w:tc>
        <w:tc>
          <w:tcPr>
            <w:tcW w:w="567" w:type="dxa"/>
            <w:tcBorders>
              <w:top w:val="single" w:sz="4" w:space="0" w:color="000000"/>
              <w:left w:val="single" w:sz="4" w:space="0" w:color="000000"/>
              <w:bottom w:val="single" w:sz="4" w:space="0" w:color="000000"/>
              <w:right w:val="single" w:sz="4" w:space="0" w:color="000000"/>
            </w:tcBorders>
          </w:tcPr>
          <w:p w14:paraId="3FADA564"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03AEBED1"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61DB0CAC"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835" w:type="dxa"/>
            <w:vMerge/>
            <w:tcBorders>
              <w:top w:val="single" w:sz="4" w:space="0" w:color="000000"/>
              <w:left w:val="single" w:sz="4" w:space="0" w:color="000000"/>
              <w:right w:val="single" w:sz="4" w:space="0" w:color="000000"/>
            </w:tcBorders>
          </w:tcPr>
          <w:p w14:paraId="2B821DE5"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075198C6" w14:textId="77777777">
        <w:trPr>
          <w:trHeight w:val="417"/>
        </w:trPr>
        <w:tc>
          <w:tcPr>
            <w:tcW w:w="6771" w:type="dxa"/>
            <w:gridSpan w:val="5"/>
            <w:tcBorders>
              <w:top w:val="single" w:sz="4" w:space="0" w:color="000000"/>
              <w:left w:val="single" w:sz="4" w:space="0" w:color="000000"/>
              <w:right w:val="single" w:sz="4" w:space="0" w:color="000000"/>
            </w:tcBorders>
          </w:tcPr>
          <w:p w14:paraId="5253400F"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Content module 2.  Practical aspects of innovation and investment management.</w:t>
            </w:r>
          </w:p>
        </w:tc>
        <w:tc>
          <w:tcPr>
            <w:tcW w:w="2835" w:type="dxa"/>
            <w:vMerge/>
            <w:tcBorders>
              <w:top w:val="single" w:sz="4" w:space="0" w:color="000000"/>
              <w:left w:val="single" w:sz="4" w:space="0" w:color="000000"/>
              <w:right w:val="single" w:sz="4" w:space="0" w:color="000000"/>
            </w:tcBorders>
          </w:tcPr>
          <w:p w14:paraId="5ECD5C0F"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56AD928F"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605E97EE"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3969" w:type="dxa"/>
            <w:tcBorders>
              <w:top w:val="single" w:sz="4" w:space="0" w:color="000000"/>
              <w:left w:val="single" w:sz="4" w:space="0" w:color="000000"/>
              <w:bottom w:val="single" w:sz="4" w:space="0" w:color="000000"/>
              <w:right w:val="single" w:sz="4" w:space="0" w:color="000000"/>
            </w:tcBorders>
          </w:tcPr>
          <w:p w14:paraId="27F7618D"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Investment project management.</w:t>
            </w:r>
          </w:p>
        </w:tc>
        <w:tc>
          <w:tcPr>
            <w:tcW w:w="567" w:type="dxa"/>
            <w:tcBorders>
              <w:top w:val="single" w:sz="4" w:space="0" w:color="000000"/>
              <w:left w:val="single" w:sz="4" w:space="0" w:color="000000"/>
              <w:bottom w:val="single" w:sz="4" w:space="0" w:color="000000"/>
              <w:right w:val="single" w:sz="4" w:space="0" w:color="000000"/>
            </w:tcBorders>
          </w:tcPr>
          <w:p w14:paraId="58661AC3"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601DA20D"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6BDEA62F"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835" w:type="dxa"/>
            <w:vMerge/>
            <w:tcBorders>
              <w:top w:val="single" w:sz="4" w:space="0" w:color="000000"/>
              <w:left w:val="single" w:sz="4" w:space="0" w:color="000000"/>
              <w:right w:val="single" w:sz="4" w:space="0" w:color="000000"/>
            </w:tcBorders>
          </w:tcPr>
          <w:p w14:paraId="579A54A1"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48AFD789"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5BDC4B45"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3969" w:type="dxa"/>
            <w:tcBorders>
              <w:top w:val="single" w:sz="4" w:space="0" w:color="000000"/>
              <w:left w:val="single" w:sz="4" w:space="0" w:color="000000"/>
              <w:bottom w:val="single" w:sz="4" w:space="0" w:color="000000"/>
              <w:right w:val="single" w:sz="4" w:space="0" w:color="000000"/>
            </w:tcBorders>
          </w:tcPr>
          <w:p w14:paraId="2D406F4F"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Evaluating the effectiveness of innovation and investment decisions.</w:t>
            </w:r>
          </w:p>
        </w:tc>
        <w:tc>
          <w:tcPr>
            <w:tcW w:w="567" w:type="dxa"/>
            <w:tcBorders>
              <w:top w:val="single" w:sz="4" w:space="0" w:color="000000"/>
              <w:left w:val="single" w:sz="4" w:space="0" w:color="000000"/>
              <w:bottom w:val="single" w:sz="4" w:space="0" w:color="000000"/>
              <w:right w:val="single" w:sz="4" w:space="0" w:color="000000"/>
            </w:tcBorders>
          </w:tcPr>
          <w:p w14:paraId="1BFAE9FD"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567" w:type="dxa"/>
            <w:tcBorders>
              <w:top w:val="single" w:sz="4" w:space="0" w:color="000000"/>
              <w:left w:val="single" w:sz="4" w:space="0" w:color="000000"/>
              <w:bottom w:val="single" w:sz="4" w:space="0" w:color="000000"/>
            </w:tcBorders>
          </w:tcPr>
          <w:p w14:paraId="03EF62E9"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567" w:type="dxa"/>
            <w:tcBorders>
              <w:top w:val="single" w:sz="4" w:space="0" w:color="000000"/>
              <w:left w:val="single" w:sz="4" w:space="0" w:color="000000"/>
              <w:bottom w:val="single" w:sz="4" w:space="0" w:color="000000"/>
            </w:tcBorders>
          </w:tcPr>
          <w:p w14:paraId="11B22983"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835" w:type="dxa"/>
            <w:vMerge/>
            <w:tcBorders>
              <w:top w:val="single" w:sz="4" w:space="0" w:color="000000"/>
              <w:left w:val="single" w:sz="4" w:space="0" w:color="000000"/>
              <w:right w:val="single" w:sz="4" w:space="0" w:color="000000"/>
            </w:tcBorders>
          </w:tcPr>
          <w:p w14:paraId="7AEF4826"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30C7E36B"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1CEC74D2"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3969" w:type="dxa"/>
            <w:tcBorders>
              <w:top w:val="single" w:sz="4" w:space="0" w:color="000000"/>
              <w:left w:val="single" w:sz="4" w:space="0" w:color="000000"/>
              <w:bottom w:val="single" w:sz="4" w:space="0" w:color="000000"/>
              <w:right w:val="single" w:sz="4" w:space="0" w:color="000000"/>
            </w:tcBorders>
          </w:tcPr>
          <w:p w14:paraId="364A4BCB"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Risk management in innovation and investment activities.</w:t>
            </w:r>
          </w:p>
        </w:tc>
        <w:tc>
          <w:tcPr>
            <w:tcW w:w="567" w:type="dxa"/>
            <w:tcBorders>
              <w:top w:val="single" w:sz="4" w:space="0" w:color="000000"/>
              <w:left w:val="single" w:sz="4" w:space="0" w:color="000000"/>
              <w:bottom w:val="single" w:sz="4" w:space="0" w:color="000000"/>
              <w:right w:val="single" w:sz="4" w:space="0" w:color="000000"/>
            </w:tcBorders>
          </w:tcPr>
          <w:p w14:paraId="5B4A8AB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55B8F58F"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33B14FAF"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2835" w:type="dxa"/>
            <w:vMerge/>
            <w:tcBorders>
              <w:top w:val="single" w:sz="4" w:space="0" w:color="000000"/>
              <w:left w:val="single" w:sz="4" w:space="0" w:color="000000"/>
              <w:right w:val="single" w:sz="4" w:space="0" w:color="000000"/>
            </w:tcBorders>
          </w:tcPr>
          <w:p w14:paraId="344AB328"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4DFF72B1"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7F6C4A32"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3969" w:type="dxa"/>
            <w:tcBorders>
              <w:top w:val="single" w:sz="4" w:space="0" w:color="000000"/>
              <w:left w:val="single" w:sz="4" w:space="0" w:color="000000"/>
              <w:bottom w:val="single" w:sz="4" w:space="0" w:color="000000"/>
              <w:right w:val="single" w:sz="4" w:space="0" w:color="000000"/>
            </w:tcBorders>
          </w:tcPr>
          <w:p w14:paraId="7867678E"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Financing innovation and investment: domestic and foreign experience.</w:t>
            </w:r>
          </w:p>
        </w:tc>
        <w:tc>
          <w:tcPr>
            <w:tcW w:w="567" w:type="dxa"/>
            <w:tcBorders>
              <w:top w:val="single" w:sz="4" w:space="0" w:color="000000"/>
              <w:left w:val="single" w:sz="4" w:space="0" w:color="000000"/>
              <w:bottom w:val="single" w:sz="4" w:space="0" w:color="000000"/>
              <w:right w:val="single" w:sz="4" w:space="0" w:color="000000"/>
            </w:tcBorders>
          </w:tcPr>
          <w:p w14:paraId="31FCBB7B"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47B13221"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73DCEAA9"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2835" w:type="dxa"/>
            <w:vMerge/>
            <w:tcBorders>
              <w:top w:val="single" w:sz="4" w:space="0" w:color="000000"/>
              <w:left w:val="single" w:sz="4" w:space="0" w:color="000000"/>
              <w:right w:val="single" w:sz="4" w:space="0" w:color="000000"/>
            </w:tcBorders>
          </w:tcPr>
          <w:p w14:paraId="7D234AF4"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7D4AA76E"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5BDFDA79"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3969" w:type="dxa"/>
            <w:tcBorders>
              <w:top w:val="single" w:sz="4" w:space="0" w:color="000000"/>
              <w:left w:val="single" w:sz="4" w:space="0" w:color="000000"/>
              <w:bottom w:val="single" w:sz="4" w:space="0" w:color="000000"/>
              <w:right w:val="single" w:sz="4" w:space="0" w:color="000000"/>
            </w:tcBorders>
          </w:tcPr>
          <w:p w14:paraId="35CD3C8F" w14:textId="77777777" w:rsidR="003E10B7" w:rsidRDefault="00000000">
            <w:pPr>
              <w:widowControl w:val="0"/>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Organising the process of implementing innovations in an enterprise.</w:t>
            </w:r>
          </w:p>
        </w:tc>
        <w:tc>
          <w:tcPr>
            <w:tcW w:w="567" w:type="dxa"/>
            <w:tcBorders>
              <w:top w:val="single" w:sz="4" w:space="0" w:color="000000"/>
              <w:left w:val="single" w:sz="4" w:space="0" w:color="000000"/>
              <w:bottom w:val="single" w:sz="4" w:space="0" w:color="000000"/>
              <w:right w:val="single" w:sz="4" w:space="0" w:color="000000"/>
            </w:tcBorders>
          </w:tcPr>
          <w:p w14:paraId="1D99034E"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12209A82"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567" w:type="dxa"/>
            <w:tcBorders>
              <w:top w:val="single" w:sz="4" w:space="0" w:color="000000"/>
              <w:left w:val="single" w:sz="4" w:space="0" w:color="000000"/>
              <w:bottom w:val="single" w:sz="4" w:space="0" w:color="000000"/>
            </w:tcBorders>
          </w:tcPr>
          <w:p w14:paraId="07D43889"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835" w:type="dxa"/>
            <w:vMerge/>
            <w:tcBorders>
              <w:top w:val="single" w:sz="4" w:space="0" w:color="000000"/>
              <w:left w:val="single" w:sz="4" w:space="0" w:color="000000"/>
              <w:right w:val="single" w:sz="4" w:space="0" w:color="000000"/>
            </w:tcBorders>
          </w:tcPr>
          <w:p w14:paraId="738981EF"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69F9D4EF" w14:textId="77777777">
        <w:trPr>
          <w:trHeight w:val="335"/>
        </w:trPr>
        <w:tc>
          <w:tcPr>
            <w:tcW w:w="9606" w:type="dxa"/>
            <w:gridSpan w:val="6"/>
            <w:tcBorders>
              <w:top w:val="single" w:sz="4" w:space="0" w:color="000000"/>
              <w:left w:val="single" w:sz="4" w:space="0" w:color="000000"/>
              <w:bottom w:val="single" w:sz="4" w:space="0" w:color="000000"/>
              <w:right w:val="single" w:sz="4" w:space="0" w:color="000000"/>
            </w:tcBorders>
          </w:tcPr>
          <w:p w14:paraId="34061FAC" w14:textId="77777777" w:rsidR="003E10B7"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 xml:space="preserve">Modular test </w:t>
            </w:r>
          </w:p>
        </w:tc>
      </w:tr>
      <w:tr w:rsidR="003E10B7" w14:paraId="7C7C8DB1" w14:textId="77777777">
        <w:trPr>
          <w:trHeight w:val="335"/>
        </w:trPr>
        <w:tc>
          <w:tcPr>
            <w:tcW w:w="5070" w:type="dxa"/>
            <w:gridSpan w:val="2"/>
            <w:tcBorders>
              <w:top w:val="single" w:sz="4" w:space="0" w:color="000000"/>
              <w:left w:val="single" w:sz="4" w:space="0" w:color="000000"/>
              <w:bottom w:val="single" w:sz="4" w:space="0" w:color="000000"/>
              <w:right w:val="single" w:sz="4" w:space="0" w:color="000000"/>
            </w:tcBorders>
          </w:tcPr>
          <w:p w14:paraId="306AD1A8"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Total:</w:t>
            </w:r>
          </w:p>
        </w:tc>
        <w:tc>
          <w:tcPr>
            <w:tcW w:w="567" w:type="dxa"/>
            <w:tcBorders>
              <w:top w:val="single" w:sz="4" w:space="0" w:color="000000"/>
              <w:left w:val="single" w:sz="4" w:space="0" w:color="000000"/>
              <w:bottom w:val="single" w:sz="4" w:space="0" w:color="000000"/>
              <w:right w:val="single" w:sz="4" w:space="0" w:color="000000"/>
            </w:tcBorders>
          </w:tcPr>
          <w:p w14:paraId="0CF9E50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26</w:t>
            </w:r>
          </w:p>
        </w:tc>
        <w:tc>
          <w:tcPr>
            <w:tcW w:w="567" w:type="dxa"/>
            <w:tcBorders>
              <w:top w:val="single" w:sz="4" w:space="0" w:color="000000"/>
              <w:left w:val="single" w:sz="4" w:space="0" w:color="000000"/>
              <w:bottom w:val="single" w:sz="4" w:space="0" w:color="000000"/>
            </w:tcBorders>
          </w:tcPr>
          <w:p w14:paraId="69D45D4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26</w:t>
            </w:r>
          </w:p>
        </w:tc>
        <w:tc>
          <w:tcPr>
            <w:tcW w:w="567" w:type="dxa"/>
            <w:tcBorders>
              <w:top w:val="single" w:sz="4" w:space="0" w:color="000000"/>
              <w:left w:val="single" w:sz="4" w:space="0" w:color="000000"/>
              <w:bottom w:val="single" w:sz="4" w:space="0" w:color="000000"/>
            </w:tcBorders>
          </w:tcPr>
          <w:p w14:paraId="130BC39E"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68</w:t>
            </w:r>
          </w:p>
        </w:tc>
        <w:tc>
          <w:tcPr>
            <w:tcW w:w="2835" w:type="dxa"/>
            <w:tcBorders>
              <w:top w:val="single" w:sz="4" w:space="0" w:color="000000"/>
              <w:left w:val="single" w:sz="4" w:space="0" w:color="000000"/>
              <w:bottom w:val="single" w:sz="4" w:space="0" w:color="000000"/>
              <w:right w:val="single" w:sz="4" w:space="0" w:color="000000"/>
            </w:tcBorders>
          </w:tcPr>
          <w:p w14:paraId="455C2ECF" w14:textId="77777777" w:rsidR="003E10B7" w:rsidRDefault="003E10B7">
            <w:pPr>
              <w:widowControl w:val="0"/>
              <w:spacing w:after="0" w:line="240" w:lineRule="auto"/>
              <w:jc w:val="center"/>
              <w:rPr>
                <w:rFonts w:ascii="Times New Roman" w:eastAsia="Times New Roman" w:hAnsi="Times New Roman" w:cs="Times New Roman"/>
                <w:b/>
                <w:bCs/>
                <w:sz w:val="28"/>
                <w:szCs w:val="28"/>
                <w:highlight w:val="yellow"/>
              </w:rPr>
            </w:pPr>
          </w:p>
        </w:tc>
      </w:tr>
      <w:tr w:rsidR="003E10B7" w14:paraId="3B2F6A71" w14:textId="77777777">
        <w:trPr>
          <w:trHeight w:val="335"/>
        </w:trPr>
        <w:tc>
          <w:tcPr>
            <w:tcW w:w="9606" w:type="dxa"/>
            <w:gridSpan w:val="6"/>
            <w:tcBorders>
              <w:left w:val="single" w:sz="4" w:space="0" w:color="000000"/>
              <w:bottom w:val="single" w:sz="4" w:space="0" w:color="000000"/>
              <w:right w:val="single" w:sz="4" w:space="0" w:color="000000"/>
            </w:tcBorders>
          </w:tcPr>
          <w:p w14:paraId="5154BEF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Form of assessment: exam</w:t>
            </w:r>
          </w:p>
        </w:tc>
      </w:tr>
    </w:tbl>
    <w:p w14:paraId="251340ED" w14:textId="77777777" w:rsidR="003E10B7" w:rsidRDefault="003E10B7">
      <w:pPr>
        <w:spacing w:after="0" w:line="240" w:lineRule="auto"/>
        <w:jc w:val="both"/>
        <w:rPr>
          <w:rFonts w:ascii="Times New Roman" w:eastAsia="Times New Roman" w:hAnsi="Times New Roman" w:cs="Times New Roman"/>
          <w:b/>
          <w:bCs/>
          <w:sz w:val="28"/>
          <w:szCs w:val="28"/>
        </w:rPr>
      </w:pPr>
    </w:p>
    <w:p w14:paraId="6EAE8FB3"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Technical equipment and/or software</w:t>
      </w:r>
      <w:r>
        <w:rPr>
          <w:rFonts w:ascii="Times New Roman" w:eastAsia="Times New Roman" w:hAnsi="Times New Roman" w:cs="Times New Roman"/>
          <w:color w:val="000000"/>
          <w:sz w:val="28"/>
          <w:szCs w:val="28"/>
        </w:rPr>
        <w:t xml:space="preserve"> – official website of </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w:t>
      </w:r>
    </w:p>
    <w:p w14:paraId="39CBAA6F"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http://</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55562716"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65264AC3"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Forms and methods of assessment.</w:t>
      </w:r>
    </w:p>
    <w:p w14:paraId="090EF788"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Assessment of students’ academic performance is divided into ongoing and final (semester) assessment.</w:t>
      </w:r>
    </w:p>
    <w:p w14:paraId="1E3AC3F9"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4F7CD756"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Forms of student participation in the educational process subject to ongoing assessment include:</w:t>
      </w:r>
    </w:p>
    <w:p w14:paraId="035DDAB5" w14:textId="77777777" w:rsidR="003E10B7"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oral reports;</w:t>
      </w:r>
    </w:p>
    <w:p w14:paraId="429C0AC6" w14:textId="77777777" w:rsidR="003E10B7"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comments and questions to the speaker;</w:t>
      </w:r>
    </w:p>
    <w:p w14:paraId="77563088" w14:textId="77777777" w:rsidR="003E10B7"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consistent performance in seminar classes and active participation in discussions;</w:t>
      </w:r>
    </w:p>
    <w:p w14:paraId="4090D31B" w14:textId="77777777" w:rsidR="003E10B7"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participation in debates and interactive learning activities;</w:t>
      </w:r>
    </w:p>
    <w:p w14:paraId="0EFF9CD6" w14:textId="77777777" w:rsidR="003E10B7"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analysis of legislation and academic literature;</w:t>
      </w:r>
    </w:p>
    <w:p w14:paraId="7F30720A" w14:textId="77777777" w:rsidR="003E10B7"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written assignments (tests, quizzes, creative tasks, essays, etc.);</w:t>
      </w:r>
    </w:p>
    <w:p w14:paraId="0093E199" w14:textId="77777777" w:rsidR="003E10B7"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preparation of theses and summaries of academic or scientific texts;</w:t>
      </w:r>
    </w:p>
    <w:p w14:paraId="444256B7" w14:textId="77777777" w:rsidR="003E10B7"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study of course topics.</w:t>
      </w:r>
    </w:p>
    <w:p w14:paraId="400583CC"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2E9DFBD5"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Methods of ongoing assessment include: </w:t>
      </w:r>
      <w:r>
        <w:rPr>
          <w:rFonts w:ascii="Times New Roman" w:eastAsia="Times New Roman" w:hAnsi="Times New Roman" w:cs="Times New Roman"/>
          <w:color w:val="000000"/>
          <w:sz w:val="28"/>
          <w:szCs w:val="28"/>
        </w:rPr>
        <w:t>oral assessment (interview, discussion, report, presentation, etc.); written assessment (tests, essays, written presentations on assigned topics, etc.); combined assessment; presentation of independent work; observation as a method of assessment; testing; analysis of problem situations.</w:t>
      </w:r>
    </w:p>
    <w:p w14:paraId="7DD2E23B"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1E3DF90E" w14:textId="77777777" w:rsidR="003E10B7"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Grading system and requirements.</w:t>
      </w:r>
    </w:p>
    <w:p w14:paraId="4A885F3C" w14:textId="77777777" w:rsidR="003E10B7"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Table of distribution of points received by students</w:t>
      </w:r>
    </w:p>
    <w:p w14:paraId="6CBA4FC5" w14:textId="77777777" w:rsidR="003E10B7" w:rsidRDefault="003E10B7">
      <w:pPr>
        <w:widowControl w:val="0"/>
        <w:spacing w:after="0" w:line="240" w:lineRule="auto"/>
        <w:jc w:val="both"/>
        <w:rPr>
          <w:rFonts w:ascii="Times New Roman" w:eastAsia="Times New Roman" w:hAnsi="Times New Roman" w:cs="Times New Roman"/>
          <w:sz w:val="28"/>
          <w:szCs w:val="28"/>
        </w:rPr>
      </w:pPr>
    </w:p>
    <w:tbl>
      <w:tblPr>
        <w:tblStyle w:val="af6"/>
        <w:tblW w:w="9364" w:type="dxa"/>
        <w:tblInd w:w="0" w:type="dxa"/>
        <w:tblLayout w:type="fixed"/>
        <w:tblLook w:val="0000" w:firstRow="0" w:lastRow="0" w:firstColumn="0" w:lastColumn="0" w:noHBand="0" w:noVBand="0"/>
      </w:tblPr>
      <w:tblGrid>
        <w:gridCol w:w="1703"/>
        <w:gridCol w:w="426"/>
        <w:gridCol w:w="425"/>
        <w:gridCol w:w="426"/>
        <w:gridCol w:w="425"/>
        <w:gridCol w:w="425"/>
        <w:gridCol w:w="425"/>
        <w:gridCol w:w="426"/>
        <w:gridCol w:w="425"/>
        <w:gridCol w:w="425"/>
        <w:gridCol w:w="570"/>
        <w:gridCol w:w="1414"/>
        <w:gridCol w:w="856"/>
        <w:gridCol w:w="993"/>
      </w:tblGrid>
      <w:tr w:rsidR="003E10B7" w14:paraId="7E395348" w14:textId="77777777">
        <w:trPr>
          <w:trHeight w:val="666"/>
        </w:trPr>
        <w:tc>
          <w:tcPr>
            <w:tcW w:w="1703" w:type="dxa"/>
            <w:tcBorders>
              <w:top w:val="single" w:sz="4" w:space="0" w:color="000000"/>
              <w:left w:val="single" w:sz="4" w:space="0" w:color="000000"/>
              <w:bottom w:val="single" w:sz="4" w:space="0" w:color="000000"/>
            </w:tcBorders>
          </w:tcPr>
          <w:p w14:paraId="429323A4" w14:textId="77777777" w:rsidR="003E10B7" w:rsidRDefault="003E10B7">
            <w:pPr>
              <w:widowControl w:val="0"/>
              <w:spacing w:after="0" w:line="240" w:lineRule="auto"/>
              <w:rPr>
                <w:rFonts w:ascii="Times New Roman" w:eastAsia="Times New Roman" w:hAnsi="Times New Roman" w:cs="Times New Roman"/>
                <w:sz w:val="28"/>
                <w:szCs w:val="28"/>
              </w:rPr>
            </w:pPr>
          </w:p>
        </w:tc>
        <w:tc>
          <w:tcPr>
            <w:tcW w:w="4398" w:type="dxa"/>
            <w:gridSpan w:val="10"/>
            <w:tcBorders>
              <w:top w:val="single" w:sz="4" w:space="0" w:color="000000"/>
              <w:left w:val="single" w:sz="4" w:space="0" w:color="000000"/>
              <w:bottom w:val="single" w:sz="4" w:space="0" w:color="000000"/>
              <w:right w:val="single" w:sz="4" w:space="0" w:color="000000"/>
            </w:tcBorders>
            <w:vAlign w:val="center"/>
          </w:tcPr>
          <w:p w14:paraId="21CB13C9" w14:textId="77777777" w:rsidR="003E10B7"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sz w:val="28"/>
                <w:szCs w:val="28"/>
              </w:rPr>
              <w:t>Ongoing knowledge assessment</w:t>
            </w:r>
          </w:p>
        </w:tc>
        <w:tc>
          <w:tcPr>
            <w:tcW w:w="1414" w:type="dxa"/>
            <w:tcBorders>
              <w:top w:val="single" w:sz="4" w:space="0" w:color="000000"/>
              <w:left w:val="single" w:sz="4" w:space="0" w:color="000000"/>
              <w:bottom w:val="single" w:sz="4" w:space="0" w:color="000000"/>
            </w:tcBorders>
            <w:vAlign w:val="center"/>
          </w:tcPr>
          <w:p w14:paraId="06C2CB42"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Modular assessment task</w:t>
            </w:r>
          </w:p>
        </w:tc>
        <w:tc>
          <w:tcPr>
            <w:tcW w:w="856" w:type="dxa"/>
            <w:tcBorders>
              <w:top w:val="single" w:sz="4" w:space="0" w:color="000000"/>
              <w:left w:val="single" w:sz="4" w:space="0" w:color="000000"/>
              <w:bottom w:val="single" w:sz="4" w:space="0" w:color="000000"/>
            </w:tcBorders>
            <w:vAlign w:val="center"/>
          </w:tcPr>
          <w:p w14:paraId="79FC5028" w14:textId="77777777" w:rsidR="003E10B7" w:rsidRDefault="00000000">
            <w:pPr>
              <w:widowControl w:val="0"/>
              <w:pBdr>
                <w:top w:val="nil"/>
                <w:left w:val="nil"/>
                <w:bottom w:val="nil"/>
                <w:right w:val="nil"/>
                <w:between w:val="nil"/>
              </w:pBdr>
              <w:jc w:val="center"/>
              <w:rPr>
                <w:color w:val="000000"/>
                <w:sz w:val="28"/>
                <w:szCs w:val="28"/>
              </w:rPr>
            </w:pPr>
            <w:r>
              <w:rPr>
                <w:color w:val="000000"/>
                <w:sz w:val="28"/>
                <w:szCs w:val="28"/>
              </w:rPr>
              <w:t>Exam</w:t>
            </w:r>
          </w:p>
        </w:tc>
        <w:tc>
          <w:tcPr>
            <w:tcW w:w="993" w:type="dxa"/>
            <w:tcBorders>
              <w:top w:val="single" w:sz="4" w:space="0" w:color="000000"/>
              <w:left w:val="single" w:sz="4" w:space="0" w:color="000000"/>
              <w:bottom w:val="single" w:sz="4" w:space="0" w:color="000000"/>
              <w:right w:val="single" w:sz="4" w:space="0" w:color="000000"/>
            </w:tcBorders>
            <w:vAlign w:val="center"/>
          </w:tcPr>
          <w:p w14:paraId="5F9BFCAD"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r>
      <w:tr w:rsidR="003E10B7" w14:paraId="3BB6CA0E" w14:textId="77777777">
        <w:trPr>
          <w:cantSplit/>
          <w:trHeight w:val="1153"/>
        </w:trPr>
        <w:tc>
          <w:tcPr>
            <w:tcW w:w="1703" w:type="dxa"/>
            <w:tcBorders>
              <w:left w:val="single" w:sz="4" w:space="0" w:color="000000"/>
              <w:bottom w:val="single" w:sz="4" w:space="0" w:color="000000"/>
            </w:tcBorders>
          </w:tcPr>
          <w:p w14:paraId="783CFA92" w14:textId="77777777" w:rsidR="003E10B7"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Topics</w:t>
            </w:r>
          </w:p>
        </w:tc>
        <w:tc>
          <w:tcPr>
            <w:tcW w:w="426" w:type="dxa"/>
            <w:tcBorders>
              <w:left w:val="single" w:sz="4" w:space="0" w:color="000000"/>
              <w:bottom w:val="single" w:sz="4" w:space="0" w:color="000000"/>
            </w:tcBorders>
          </w:tcPr>
          <w:p w14:paraId="5665B856"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w:t>
            </w:r>
          </w:p>
        </w:tc>
        <w:tc>
          <w:tcPr>
            <w:tcW w:w="425" w:type="dxa"/>
            <w:tcBorders>
              <w:left w:val="single" w:sz="4" w:space="0" w:color="000000"/>
              <w:bottom w:val="single" w:sz="4" w:space="0" w:color="000000"/>
            </w:tcBorders>
          </w:tcPr>
          <w:p w14:paraId="175D9A7B"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426" w:type="dxa"/>
            <w:tcBorders>
              <w:left w:val="single" w:sz="4" w:space="0" w:color="000000"/>
              <w:bottom w:val="single" w:sz="4" w:space="0" w:color="000000"/>
            </w:tcBorders>
          </w:tcPr>
          <w:p w14:paraId="7CFC0EFC"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425" w:type="dxa"/>
            <w:tcBorders>
              <w:left w:val="single" w:sz="4" w:space="0" w:color="000000"/>
              <w:bottom w:val="single" w:sz="4" w:space="0" w:color="000000"/>
            </w:tcBorders>
          </w:tcPr>
          <w:p w14:paraId="6CD7E37D"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425" w:type="dxa"/>
            <w:tcBorders>
              <w:left w:val="single" w:sz="4" w:space="0" w:color="000000"/>
              <w:bottom w:val="single" w:sz="4" w:space="0" w:color="000000"/>
            </w:tcBorders>
          </w:tcPr>
          <w:p w14:paraId="313F1BB0"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425" w:type="dxa"/>
            <w:tcBorders>
              <w:left w:val="single" w:sz="4" w:space="0" w:color="000000"/>
              <w:bottom w:val="single" w:sz="4" w:space="0" w:color="000000"/>
            </w:tcBorders>
          </w:tcPr>
          <w:p w14:paraId="5D15EA5B"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426" w:type="dxa"/>
            <w:tcBorders>
              <w:left w:val="single" w:sz="4" w:space="0" w:color="000000"/>
              <w:bottom w:val="single" w:sz="4" w:space="0" w:color="000000"/>
            </w:tcBorders>
          </w:tcPr>
          <w:p w14:paraId="2CCC8079"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425" w:type="dxa"/>
            <w:tcBorders>
              <w:left w:val="single" w:sz="4" w:space="0" w:color="000000"/>
              <w:bottom w:val="single" w:sz="4" w:space="0" w:color="000000"/>
            </w:tcBorders>
          </w:tcPr>
          <w:p w14:paraId="3C696C83"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425" w:type="dxa"/>
            <w:tcBorders>
              <w:left w:val="single" w:sz="4" w:space="0" w:color="000000"/>
              <w:bottom w:val="single" w:sz="4" w:space="0" w:color="000000"/>
              <w:right w:val="single" w:sz="4" w:space="0" w:color="000000"/>
            </w:tcBorders>
          </w:tcPr>
          <w:p w14:paraId="3374AD2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570" w:type="dxa"/>
            <w:tcBorders>
              <w:left w:val="single" w:sz="4" w:space="0" w:color="000000"/>
              <w:bottom w:val="single" w:sz="4" w:space="0" w:color="000000"/>
              <w:right w:val="single" w:sz="4" w:space="0" w:color="000000"/>
            </w:tcBorders>
          </w:tcPr>
          <w:p w14:paraId="1E23FA5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1414" w:type="dxa"/>
            <w:vMerge w:val="restart"/>
            <w:tcBorders>
              <w:left w:val="single" w:sz="4" w:space="0" w:color="000000"/>
            </w:tcBorders>
          </w:tcPr>
          <w:p w14:paraId="65481D38" w14:textId="77777777" w:rsidR="003E10B7" w:rsidRDefault="003E10B7">
            <w:pPr>
              <w:widowControl w:val="0"/>
              <w:spacing w:after="0" w:line="240" w:lineRule="auto"/>
              <w:jc w:val="center"/>
              <w:rPr>
                <w:rFonts w:ascii="Times New Roman" w:eastAsia="Times New Roman" w:hAnsi="Times New Roman" w:cs="Times New Roman"/>
                <w:sz w:val="28"/>
                <w:szCs w:val="28"/>
              </w:rPr>
            </w:pPr>
          </w:p>
          <w:p w14:paraId="1A95D4F9" w14:textId="77777777" w:rsidR="003E10B7" w:rsidRDefault="003E10B7">
            <w:pPr>
              <w:widowControl w:val="0"/>
              <w:spacing w:after="0" w:line="240" w:lineRule="auto"/>
              <w:jc w:val="center"/>
              <w:rPr>
                <w:rFonts w:ascii="Times New Roman" w:eastAsia="Times New Roman" w:hAnsi="Times New Roman" w:cs="Times New Roman"/>
                <w:sz w:val="28"/>
                <w:szCs w:val="28"/>
              </w:rPr>
            </w:pPr>
          </w:p>
          <w:p w14:paraId="01180FF4"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c>
          <w:tcPr>
            <w:tcW w:w="856" w:type="dxa"/>
            <w:vMerge w:val="restart"/>
            <w:tcBorders>
              <w:left w:val="single" w:sz="4" w:space="0" w:color="000000"/>
            </w:tcBorders>
          </w:tcPr>
          <w:p w14:paraId="1328BFA9" w14:textId="77777777" w:rsidR="003E10B7" w:rsidRDefault="003E10B7">
            <w:pPr>
              <w:widowControl w:val="0"/>
              <w:spacing w:after="0" w:line="240" w:lineRule="auto"/>
              <w:jc w:val="center"/>
              <w:rPr>
                <w:rFonts w:ascii="Times New Roman" w:eastAsia="Times New Roman" w:hAnsi="Times New Roman" w:cs="Times New Roman"/>
                <w:sz w:val="28"/>
                <w:szCs w:val="28"/>
              </w:rPr>
            </w:pPr>
          </w:p>
          <w:p w14:paraId="1D4D7CD5" w14:textId="77777777" w:rsidR="003E10B7" w:rsidRDefault="003E10B7">
            <w:pPr>
              <w:widowControl w:val="0"/>
              <w:spacing w:after="0" w:line="240" w:lineRule="auto"/>
              <w:jc w:val="center"/>
              <w:rPr>
                <w:rFonts w:ascii="Times New Roman" w:eastAsia="Times New Roman" w:hAnsi="Times New Roman" w:cs="Times New Roman"/>
                <w:sz w:val="28"/>
                <w:szCs w:val="28"/>
              </w:rPr>
            </w:pPr>
          </w:p>
          <w:p w14:paraId="40BAAC77"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40</w:t>
            </w:r>
          </w:p>
        </w:tc>
        <w:tc>
          <w:tcPr>
            <w:tcW w:w="993" w:type="dxa"/>
            <w:vMerge w:val="restart"/>
            <w:tcBorders>
              <w:left w:val="single" w:sz="4" w:space="0" w:color="000000"/>
              <w:right w:val="single" w:sz="4" w:space="0" w:color="000000"/>
            </w:tcBorders>
          </w:tcPr>
          <w:p w14:paraId="54773273" w14:textId="77777777" w:rsidR="003E10B7" w:rsidRDefault="003E10B7">
            <w:pPr>
              <w:widowControl w:val="0"/>
              <w:spacing w:after="0" w:line="240" w:lineRule="auto"/>
              <w:jc w:val="center"/>
              <w:rPr>
                <w:rFonts w:ascii="Times New Roman" w:eastAsia="Times New Roman" w:hAnsi="Times New Roman" w:cs="Times New Roman"/>
                <w:sz w:val="28"/>
                <w:szCs w:val="28"/>
              </w:rPr>
            </w:pPr>
          </w:p>
          <w:p w14:paraId="7BD7466E" w14:textId="77777777" w:rsidR="003E10B7" w:rsidRDefault="003E10B7">
            <w:pPr>
              <w:widowControl w:val="0"/>
              <w:spacing w:after="0" w:line="240" w:lineRule="auto"/>
              <w:rPr>
                <w:rFonts w:ascii="Times New Roman" w:eastAsia="Times New Roman" w:hAnsi="Times New Roman" w:cs="Times New Roman"/>
                <w:sz w:val="28"/>
                <w:szCs w:val="28"/>
              </w:rPr>
            </w:pPr>
          </w:p>
          <w:p w14:paraId="0CB5F64E"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100</w:t>
            </w:r>
          </w:p>
        </w:tc>
      </w:tr>
      <w:tr w:rsidR="003E10B7" w14:paraId="7F7802BB" w14:textId="77777777">
        <w:trPr>
          <w:trHeight w:val="666"/>
        </w:trPr>
        <w:tc>
          <w:tcPr>
            <w:tcW w:w="1703" w:type="dxa"/>
            <w:tcBorders>
              <w:left w:val="single" w:sz="4" w:space="0" w:color="000000"/>
              <w:bottom w:val="single" w:sz="4" w:space="0" w:color="000000"/>
            </w:tcBorders>
          </w:tcPr>
          <w:p w14:paraId="6E724C02" w14:textId="77777777" w:rsidR="003E10B7"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Work in a seminar</w:t>
            </w:r>
          </w:p>
        </w:tc>
        <w:tc>
          <w:tcPr>
            <w:tcW w:w="426" w:type="dxa"/>
            <w:tcBorders>
              <w:left w:val="single" w:sz="4" w:space="0" w:color="000000"/>
              <w:bottom w:val="single" w:sz="4" w:space="0" w:color="000000"/>
              <w:right w:val="single" w:sz="4" w:space="0" w:color="000000"/>
            </w:tcBorders>
          </w:tcPr>
          <w:p w14:paraId="31DAC929"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tcBorders>
          </w:tcPr>
          <w:p w14:paraId="3163FB0B"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6" w:type="dxa"/>
            <w:tcBorders>
              <w:left w:val="single" w:sz="4" w:space="0" w:color="000000"/>
              <w:bottom w:val="single" w:sz="4" w:space="0" w:color="000000"/>
              <w:right w:val="single" w:sz="4" w:space="0" w:color="000000"/>
            </w:tcBorders>
          </w:tcPr>
          <w:p w14:paraId="63A2A3F8"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tcBorders>
          </w:tcPr>
          <w:p w14:paraId="71794C2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tcBorders>
          </w:tcPr>
          <w:p w14:paraId="556BD6C0"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right w:val="single" w:sz="4" w:space="0" w:color="000000"/>
            </w:tcBorders>
          </w:tcPr>
          <w:p w14:paraId="251A6861"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6" w:type="dxa"/>
            <w:tcBorders>
              <w:left w:val="single" w:sz="4" w:space="0" w:color="000000"/>
              <w:bottom w:val="single" w:sz="4" w:space="0" w:color="000000"/>
            </w:tcBorders>
          </w:tcPr>
          <w:p w14:paraId="012328E9"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tcBorders>
          </w:tcPr>
          <w:p w14:paraId="3CE513B0"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25" w:type="dxa"/>
            <w:tcBorders>
              <w:left w:val="single" w:sz="4" w:space="0" w:color="000000"/>
              <w:bottom w:val="single" w:sz="4" w:space="0" w:color="000000"/>
              <w:right w:val="single" w:sz="4" w:space="0" w:color="000000"/>
            </w:tcBorders>
          </w:tcPr>
          <w:p w14:paraId="3B3124C0"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570" w:type="dxa"/>
            <w:tcBorders>
              <w:left w:val="single" w:sz="4" w:space="0" w:color="000000"/>
              <w:bottom w:val="single" w:sz="4" w:space="0" w:color="000000"/>
              <w:right w:val="single" w:sz="4" w:space="0" w:color="000000"/>
            </w:tcBorders>
          </w:tcPr>
          <w:p w14:paraId="675BA893"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414" w:type="dxa"/>
            <w:vMerge/>
            <w:tcBorders>
              <w:left w:val="single" w:sz="4" w:space="0" w:color="000000"/>
            </w:tcBorders>
          </w:tcPr>
          <w:p w14:paraId="425EEC8A"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856" w:type="dxa"/>
            <w:vMerge/>
            <w:tcBorders>
              <w:left w:val="single" w:sz="4" w:space="0" w:color="000000"/>
            </w:tcBorders>
          </w:tcPr>
          <w:p w14:paraId="4EA53B81"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993" w:type="dxa"/>
            <w:vMerge/>
            <w:tcBorders>
              <w:left w:val="single" w:sz="4" w:space="0" w:color="000000"/>
              <w:right w:val="single" w:sz="4" w:space="0" w:color="000000"/>
            </w:tcBorders>
          </w:tcPr>
          <w:p w14:paraId="33E8A7BE"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3E10B7" w14:paraId="1FA76AAF" w14:textId="77777777">
        <w:trPr>
          <w:trHeight w:val="442"/>
        </w:trPr>
        <w:tc>
          <w:tcPr>
            <w:tcW w:w="1703" w:type="dxa"/>
            <w:tcBorders>
              <w:left w:val="single" w:sz="4" w:space="0" w:color="000000"/>
              <w:bottom w:val="single" w:sz="4" w:space="0" w:color="000000"/>
            </w:tcBorders>
          </w:tcPr>
          <w:p w14:paraId="3A0DB08D" w14:textId="77777777" w:rsidR="003E10B7"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Independent work</w:t>
            </w:r>
          </w:p>
        </w:tc>
        <w:tc>
          <w:tcPr>
            <w:tcW w:w="426" w:type="dxa"/>
            <w:tcBorders>
              <w:left w:val="single" w:sz="4" w:space="0" w:color="000000"/>
              <w:bottom w:val="single" w:sz="4" w:space="0" w:color="000000"/>
            </w:tcBorders>
          </w:tcPr>
          <w:p w14:paraId="3A3AEB5D"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016415F9"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6" w:type="dxa"/>
            <w:tcBorders>
              <w:left w:val="single" w:sz="4" w:space="0" w:color="000000"/>
              <w:bottom w:val="single" w:sz="4" w:space="0" w:color="000000"/>
            </w:tcBorders>
          </w:tcPr>
          <w:p w14:paraId="77AB93FF"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0C5993B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63850FC6"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02BB0A88"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6" w:type="dxa"/>
            <w:tcBorders>
              <w:left w:val="single" w:sz="4" w:space="0" w:color="000000"/>
              <w:bottom w:val="single" w:sz="4" w:space="0" w:color="000000"/>
            </w:tcBorders>
          </w:tcPr>
          <w:p w14:paraId="5C8FB096"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0F7658A4"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4A335682"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570" w:type="dxa"/>
            <w:tcBorders>
              <w:top w:val="single" w:sz="4" w:space="0" w:color="000000"/>
              <w:left w:val="single" w:sz="4" w:space="0" w:color="000000"/>
              <w:bottom w:val="single" w:sz="4" w:space="0" w:color="000000"/>
              <w:right w:val="single" w:sz="4" w:space="0" w:color="000000"/>
            </w:tcBorders>
          </w:tcPr>
          <w:p w14:paraId="2E8A8548"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4" w:type="dxa"/>
            <w:vMerge/>
            <w:tcBorders>
              <w:left w:val="single" w:sz="4" w:space="0" w:color="000000"/>
            </w:tcBorders>
          </w:tcPr>
          <w:p w14:paraId="1327DCA6"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856" w:type="dxa"/>
            <w:vMerge/>
            <w:tcBorders>
              <w:left w:val="single" w:sz="4" w:space="0" w:color="000000"/>
            </w:tcBorders>
          </w:tcPr>
          <w:p w14:paraId="7B487656"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993" w:type="dxa"/>
            <w:vMerge/>
            <w:tcBorders>
              <w:left w:val="single" w:sz="4" w:space="0" w:color="000000"/>
              <w:right w:val="single" w:sz="4" w:space="0" w:color="000000"/>
            </w:tcBorders>
          </w:tcPr>
          <w:p w14:paraId="25F0BDA0"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bl>
    <w:p w14:paraId="74B480F4" w14:textId="77777777" w:rsidR="003E10B7" w:rsidRDefault="003E10B7">
      <w:pPr>
        <w:widowControl w:val="0"/>
        <w:spacing w:after="0" w:line="240" w:lineRule="auto"/>
        <w:jc w:val="both"/>
        <w:rPr>
          <w:rFonts w:ascii="Times New Roman" w:eastAsia="Times New Roman" w:hAnsi="Times New Roman" w:cs="Times New Roman"/>
          <w:sz w:val="28"/>
          <w:szCs w:val="28"/>
        </w:rPr>
      </w:pPr>
    </w:p>
    <w:p w14:paraId="4BC4187C"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table contains information about the maximum points for each type of assignment.</w:t>
      </w:r>
    </w:p>
    <w:p w14:paraId="3CEC3306"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assessing the mastery of each topic within ongoing educational activities, students receive marks in accordance with the approved assessment criteria for the respective discipline.</w:t>
      </w:r>
    </w:p>
    <w:p w14:paraId="4C6E4F2F"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criteria for evaluating learning outcomes and the distribution of points are regulated by the Regulations on the Assessment of Students’ Academic Achievements at PJSC “HEI IAPM”.</w:t>
      </w:r>
    </w:p>
    <w:p w14:paraId="3EE0AE64"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4C8F16E2"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Modular assessment.</w:t>
      </w:r>
      <w:r>
        <w:rPr>
          <w:rFonts w:ascii="Times New Roman" w:eastAsia="Times New Roman" w:hAnsi="Times New Roman" w:cs="Times New Roman"/>
          <w:color w:val="000000"/>
          <w:sz w:val="28"/>
          <w:szCs w:val="28"/>
        </w:rPr>
        <w:t xml:space="preserve"> Modular assessment in the discipline “</w:t>
      </w:r>
      <w:r>
        <w:rPr>
          <w:rFonts w:ascii="Times New Roman" w:eastAsia="Times New Roman" w:hAnsi="Times New Roman" w:cs="Times New Roman"/>
          <w:sz w:val="28"/>
          <w:szCs w:val="28"/>
        </w:rPr>
        <w:t>Innovation and investment management”</w:t>
      </w:r>
      <w:r>
        <w:rPr>
          <w:rFonts w:ascii="Times New Roman" w:eastAsia="Times New Roman" w:hAnsi="Times New Roman" w:cs="Times New Roman"/>
          <w:color w:val="000000"/>
          <w:sz w:val="28"/>
          <w:szCs w:val="28"/>
        </w:rPr>
        <w:t xml:space="preserve"> is conducted in written form as testing using closed-type test items, including alternative and matching formats.</w:t>
      </w:r>
    </w:p>
    <w:p w14:paraId="286DACCD"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128B0001"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Criteria for evaluating the modular test in the academic discipline “</w:t>
      </w:r>
      <w:r>
        <w:rPr>
          <w:rFonts w:ascii="Times New Roman" w:eastAsia="Times New Roman" w:hAnsi="Times New Roman" w:cs="Times New Roman"/>
          <w:sz w:val="28"/>
          <w:szCs w:val="28"/>
        </w:rPr>
        <w:t>Innovation and investment management</w:t>
      </w:r>
      <w:r>
        <w:rPr>
          <w:rFonts w:ascii="Times New Roman" w:eastAsia="Times New Roman" w:hAnsi="Times New Roman" w:cs="Times New Roman"/>
          <w:color w:val="000000"/>
          <w:sz w:val="28"/>
          <w:szCs w:val="28"/>
        </w:rPr>
        <w:t>”:</w:t>
      </w:r>
    </w:p>
    <w:p w14:paraId="798BDD6F"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evaluating the modular test, the volume and correctness of the completed tasks are taken into account:</w:t>
      </w:r>
    </w:p>
    <w:p w14:paraId="05BAD893"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"excellent" (A) is given for the correct completion of all tasks (or more than 90% of all tasks);</w:t>
      </w:r>
    </w:p>
    <w:p w14:paraId="6C132C95"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(B) is given for the completion of 80% of all tasks;</w:t>
      </w:r>
    </w:p>
    <w:p w14:paraId="36A23E46"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(C) is given for the completion of 70% of all tasks;</w:t>
      </w:r>
    </w:p>
    <w:p w14:paraId="093BDDDF"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(D) is given if 60% of the proposed tasks are completed correctly;</w:t>
      </w:r>
    </w:p>
    <w:p w14:paraId="58BB70B4"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(E) is given if more than 50% of the proposed tasks are completed correctly;</w:t>
      </w:r>
    </w:p>
    <w:p w14:paraId="29DF882D"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"unsatisfactory" (FX) is given if less than 50% of the tasks are completed.</w:t>
      </w:r>
    </w:p>
    <w:p w14:paraId="7F77F791"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Absence from the modular test work - 0 points.</w:t>
      </w:r>
    </w:p>
    <w:p w14:paraId="386171FC"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0D5E9137"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above grades are transformed into rating points as follows:</w:t>
      </w:r>
    </w:p>
    <w:p w14:paraId="7FF59516"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- 18-20 points;</w:t>
      </w:r>
    </w:p>
    <w:p w14:paraId="0B657058"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- 16-17 points;</w:t>
      </w:r>
    </w:p>
    <w:p w14:paraId="4D93A37B"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- 14-15 points;</w:t>
      </w:r>
    </w:p>
    <w:p w14:paraId="33F37269"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- 12-13 points.</w:t>
      </w:r>
    </w:p>
    <w:p w14:paraId="1D78FFFC"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 - 10-11 points;</w:t>
      </w:r>
    </w:p>
    <w:p w14:paraId="46013838"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"FX" - less than 10 points.</w:t>
      </w:r>
    </w:p>
    <w:p w14:paraId="37D695BC" w14:textId="77777777" w:rsidR="003E10B7" w:rsidRDefault="003E10B7">
      <w:pPr>
        <w:spacing w:after="0" w:line="240" w:lineRule="auto"/>
        <w:ind w:firstLine="720"/>
        <w:jc w:val="both"/>
        <w:rPr>
          <w:rFonts w:ascii="Times New Roman" w:eastAsia="Times New Roman" w:hAnsi="Times New Roman" w:cs="Times New Roman"/>
          <w:color w:val="000000"/>
          <w:sz w:val="28"/>
          <w:szCs w:val="28"/>
        </w:rPr>
      </w:pPr>
    </w:p>
    <w:p w14:paraId="3E3B1B86" w14:textId="77777777" w:rsidR="003E10B7"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assessment in the academic discipline “</w:t>
      </w:r>
      <w:r>
        <w:rPr>
          <w:rFonts w:ascii="Times New Roman" w:eastAsia="Times New Roman" w:hAnsi="Times New Roman" w:cs="Times New Roman"/>
          <w:sz w:val="28"/>
          <w:szCs w:val="28"/>
        </w:rPr>
        <w:t>Innovation and investment management”</w:t>
      </w:r>
      <w:r>
        <w:rPr>
          <w:rFonts w:ascii="Times New Roman" w:eastAsia="Times New Roman" w:hAnsi="Times New Roman" w:cs="Times New Roman"/>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7C9BAF6E" w14:textId="77777777" w:rsidR="003E10B7"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assessment is administered in the form of an exam. A student is admitted to the exam only if all required coursework specified in the syllabus has been completed.</w:t>
      </w:r>
    </w:p>
    <w:p w14:paraId="7BA6014C" w14:textId="77777777" w:rsidR="003E10B7"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grade for a discipline assessed by examination consists of two components: the results of ongoing assessment and the exam grade.</w:t>
      </w:r>
    </w:p>
    <w:p w14:paraId="2A8CC802" w14:textId="77777777" w:rsidR="003E10B7"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number of points for ongoing assessment is 60, and the maximum for the exam is 40.</w:t>
      </w:r>
    </w:p>
    <w:p w14:paraId="75E1B0E4" w14:textId="77777777" w:rsidR="003E10B7"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minimum number of points required to pass the exam is 25.</w:t>
      </w:r>
    </w:p>
    <w:p w14:paraId="6E4C158F" w14:textId="77777777" w:rsidR="003E10B7"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grade for ongoing assessment is formed as the sum of rating points earned by the student during seminar/practical classes and any incentive (bonus) points, if applicable.</w:t>
      </w:r>
    </w:p>
    <w:p w14:paraId="77E3FD2A" w14:textId="77777777" w:rsidR="003E10B7"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After evaluating a student’s exam responses, the instructor adds the exam score to the points earned for ongoing assessment to determine the final grade for the course.</w:t>
      </w:r>
    </w:p>
    <w:p w14:paraId="00743BF5" w14:textId="77777777" w:rsidR="003E10B7" w:rsidRDefault="003E10B7">
      <w:pPr>
        <w:spacing w:after="0" w:line="240" w:lineRule="auto"/>
        <w:ind w:firstLine="720"/>
        <w:jc w:val="both"/>
        <w:rPr>
          <w:rFonts w:ascii="Times New Roman" w:eastAsia="Times New Roman" w:hAnsi="Times New Roman" w:cs="Times New Roman"/>
          <w:color w:val="000000"/>
          <w:sz w:val="28"/>
          <w:szCs w:val="28"/>
        </w:rPr>
      </w:pPr>
    </w:p>
    <w:p w14:paraId="062CD7AF" w14:textId="77777777" w:rsidR="003E10B7"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the assessment of exam tasks</w:t>
      </w:r>
    </w:p>
    <w:tbl>
      <w:tblPr>
        <w:tblStyle w:val="af7"/>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3E10B7" w14:paraId="24924B5E"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15B1877"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EC63B92"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5E81C4B"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Criteria</w:t>
            </w:r>
          </w:p>
        </w:tc>
      </w:tr>
      <w:tr w:rsidR="003E10B7" w14:paraId="6D41BBD4"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1B621657"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1CFFBC22"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19E1247E" w14:textId="77777777" w:rsidR="003E10B7"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the student has achieved the maximum score in the assessment of theoretical knowledge.</w:t>
            </w:r>
          </w:p>
        </w:tc>
      </w:tr>
      <w:tr w:rsidR="003E10B7" w14:paraId="4E65B364"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DCFADDA"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734D4528"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7662FBE0" w14:textId="77777777" w:rsidR="003E10B7"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and a sufficiently high proportion of correct answers.</w:t>
            </w:r>
          </w:p>
        </w:tc>
      </w:tr>
      <w:tr w:rsidR="003E10B7" w14:paraId="431A52C9"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2E9FD646"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44EC1831"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3068E4B2" w14:textId="77777777" w:rsidR="003E10B7"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an average number of correct answers; the student has demonstrated theoretical knowledge with significant errors.</w:t>
            </w:r>
          </w:p>
        </w:tc>
      </w:tr>
      <w:tr w:rsidR="003E10B7" w14:paraId="012B7203"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63E6C5DB"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27413E6C" w14:textId="77777777" w:rsidR="003E10B7"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D04833D" w14:textId="77777777" w:rsidR="003E10B7"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not completed; the student has demonstrated theoretical knowledge with major errors.</w:t>
            </w:r>
          </w:p>
        </w:tc>
      </w:tr>
    </w:tbl>
    <w:p w14:paraId="7AC18F10" w14:textId="77777777" w:rsidR="003E10B7" w:rsidRDefault="003E10B7">
      <w:pPr>
        <w:spacing w:after="0" w:line="240" w:lineRule="auto"/>
        <w:ind w:firstLine="720"/>
        <w:jc w:val="both"/>
        <w:rPr>
          <w:rFonts w:ascii="Times New Roman" w:eastAsia="Times New Roman" w:hAnsi="Times New Roman" w:cs="Times New Roman"/>
          <w:color w:val="000000"/>
          <w:sz w:val="28"/>
          <w:szCs w:val="28"/>
        </w:rPr>
      </w:pPr>
    </w:p>
    <w:p w14:paraId="6E9A5EEF"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additional (individual) types of educational activities.</w:t>
      </w:r>
      <w:r>
        <w:rPr>
          <w:rFonts w:ascii="Times New Roman" w:eastAsia="Times New Roman" w:hAnsi="Times New Roman" w:cs="Times New Roman"/>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3338E173"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282DBE8A"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Incentive points are not mandatory and are not included in the standard point distribution table or the main assessment scale.</w:t>
      </w:r>
    </w:p>
    <w:p w14:paraId="7DF36BBA"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single event may serve as the basis for awarding incentive points for only one educational component – the one to which it is most relevant.</w:t>
      </w:r>
    </w:p>
    <w:p w14:paraId="7E78B63A"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77F3D26B"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independent work</w:t>
      </w:r>
    </w:p>
    <w:p w14:paraId="5FDC3CBE"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rFonts w:ascii="Times New Roman" w:eastAsia="Times New Roman" w:hAnsi="Times New Roman" w:cs="Times New Roman"/>
          <w:color w:val="000000"/>
          <w:sz w:val="28"/>
          <w:szCs w:val="28"/>
        </w:rPr>
        <w:t>points</w:t>
      </w:r>
      <w:proofErr w:type="gramEnd"/>
      <w:r>
        <w:rPr>
          <w:rFonts w:ascii="Times New Roman" w:eastAsia="Times New Roman" w:hAnsi="Times New Roman" w:cs="Times New Roman"/>
          <w:color w:val="000000"/>
          <w:sz w:val="28"/>
          <w:szCs w:val="28"/>
        </w:rPr>
        <w:t xml:space="preserve"> using standardized and generalized knowledge assessment criteria.</w:t>
      </w:r>
    </w:p>
    <w:p w14:paraId="1F133831"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3F5F6A3F"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evaluating the performance of independent work (individual tasks)</w:t>
      </w:r>
    </w:p>
    <w:tbl>
      <w:tblPr>
        <w:tblStyle w:val="af8"/>
        <w:tblW w:w="9481" w:type="dxa"/>
        <w:tblInd w:w="-60" w:type="dxa"/>
        <w:tblLayout w:type="fixed"/>
        <w:tblLook w:val="0000" w:firstRow="0" w:lastRow="0" w:firstColumn="0" w:lastColumn="0" w:noHBand="0" w:noVBand="0"/>
      </w:tblPr>
      <w:tblGrid>
        <w:gridCol w:w="2592"/>
        <w:gridCol w:w="1689"/>
        <w:gridCol w:w="1509"/>
        <w:gridCol w:w="1710"/>
        <w:gridCol w:w="1981"/>
      </w:tblGrid>
      <w:tr w:rsidR="003E10B7" w14:paraId="72D7C6D7" w14:textId="77777777">
        <w:tc>
          <w:tcPr>
            <w:tcW w:w="2592" w:type="dxa"/>
            <w:vMerge w:val="restart"/>
            <w:tcBorders>
              <w:top w:val="single" w:sz="4" w:space="0" w:color="000000"/>
              <w:left w:val="single" w:sz="4" w:space="0" w:color="000000"/>
              <w:bottom w:val="single" w:sz="4" w:space="0" w:color="000000"/>
            </w:tcBorders>
          </w:tcPr>
          <w:p w14:paraId="4A7BC070" w14:textId="77777777" w:rsidR="003E10B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08926275"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Execution level</w:t>
            </w:r>
          </w:p>
        </w:tc>
      </w:tr>
      <w:tr w:rsidR="003E10B7" w14:paraId="51CA3E8E" w14:textId="77777777">
        <w:tc>
          <w:tcPr>
            <w:tcW w:w="2592" w:type="dxa"/>
            <w:vMerge/>
            <w:tcBorders>
              <w:top w:val="single" w:sz="4" w:space="0" w:color="000000"/>
              <w:left w:val="single" w:sz="4" w:space="0" w:color="000000"/>
              <w:bottom w:val="single" w:sz="4" w:space="0" w:color="000000"/>
            </w:tcBorders>
          </w:tcPr>
          <w:p w14:paraId="5AF429FA"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689" w:type="dxa"/>
            <w:tcBorders>
              <w:left w:val="single" w:sz="4" w:space="0" w:color="000000"/>
              <w:bottom w:val="single" w:sz="4" w:space="0" w:color="000000"/>
            </w:tcBorders>
            <w:vAlign w:val="center"/>
          </w:tcPr>
          <w:p w14:paraId="63FB5008"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1509" w:type="dxa"/>
            <w:tcBorders>
              <w:left w:val="single" w:sz="4" w:space="0" w:color="000000"/>
              <w:bottom w:val="single" w:sz="4" w:space="0" w:color="000000"/>
            </w:tcBorders>
            <w:vAlign w:val="center"/>
          </w:tcPr>
          <w:p w14:paraId="3B3A388B"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1710" w:type="dxa"/>
            <w:tcBorders>
              <w:left w:val="single" w:sz="4" w:space="0" w:color="000000"/>
              <w:bottom w:val="single" w:sz="4" w:space="0" w:color="000000"/>
            </w:tcBorders>
            <w:vAlign w:val="center"/>
          </w:tcPr>
          <w:p w14:paraId="43980D14"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3B3A9746"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w:t>
            </w:r>
          </w:p>
        </w:tc>
      </w:tr>
      <w:tr w:rsidR="003E10B7" w14:paraId="648E1A50" w14:textId="77777777">
        <w:tc>
          <w:tcPr>
            <w:tcW w:w="2592" w:type="dxa"/>
            <w:tcBorders>
              <w:left w:val="single" w:sz="4" w:space="0" w:color="000000"/>
              <w:bottom w:val="single" w:sz="4" w:space="0" w:color="000000"/>
            </w:tcBorders>
          </w:tcPr>
          <w:p w14:paraId="56CEBD87"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689" w:type="dxa"/>
            <w:tcBorders>
              <w:left w:val="single" w:sz="4" w:space="0" w:color="000000"/>
              <w:bottom w:val="single" w:sz="4" w:space="0" w:color="000000"/>
            </w:tcBorders>
          </w:tcPr>
          <w:p w14:paraId="5449CC1E"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509" w:type="dxa"/>
            <w:tcBorders>
              <w:left w:val="single" w:sz="4" w:space="0" w:color="000000"/>
              <w:bottom w:val="single" w:sz="4" w:space="0" w:color="000000"/>
            </w:tcBorders>
          </w:tcPr>
          <w:p w14:paraId="2E288034"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0,75</w:t>
            </w:r>
          </w:p>
        </w:tc>
        <w:tc>
          <w:tcPr>
            <w:tcW w:w="1710" w:type="dxa"/>
            <w:tcBorders>
              <w:left w:val="single" w:sz="4" w:space="0" w:color="000000"/>
              <w:bottom w:val="single" w:sz="4" w:space="0" w:color="000000"/>
            </w:tcBorders>
          </w:tcPr>
          <w:p w14:paraId="62CB148B"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0,5</w:t>
            </w:r>
          </w:p>
        </w:tc>
        <w:tc>
          <w:tcPr>
            <w:tcW w:w="1981" w:type="dxa"/>
            <w:tcBorders>
              <w:left w:val="single" w:sz="4" w:space="0" w:color="000000"/>
              <w:bottom w:val="single" w:sz="4" w:space="0" w:color="000000"/>
              <w:right w:val="single" w:sz="4" w:space="0" w:color="000000"/>
            </w:tcBorders>
          </w:tcPr>
          <w:p w14:paraId="23E0078B" w14:textId="77777777" w:rsidR="003E10B7"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r>
    </w:tbl>
    <w:p w14:paraId="3A945F75"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691ED0A9"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Forms of assessment include: ongoing assessment of practical work; ongoing assessment of knowledge acquisition based on oral responses, reports, presentations, and other forms of participation during practical (seminar) classes; individual or group </w:t>
      </w:r>
      <w:r>
        <w:rPr>
          <w:rFonts w:ascii="Times New Roman" w:eastAsia="Times New Roman" w:hAnsi="Times New Roman" w:cs="Times New Roman"/>
          <w:color w:val="000000"/>
          <w:sz w:val="28"/>
          <w:szCs w:val="28"/>
        </w:rPr>
        <w:lastRenderedPageBreak/>
        <w:t>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5E37D655"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assess the learning outcomes of a student during the semester, a 100-point, national and ECTS assessment scale is used</w:t>
      </w:r>
    </w:p>
    <w:p w14:paraId="1F266D26" w14:textId="77777777" w:rsidR="003E10B7" w:rsidRDefault="003E10B7">
      <w:pPr>
        <w:spacing w:after="0" w:line="240" w:lineRule="auto"/>
        <w:ind w:firstLine="720"/>
        <w:jc w:val="both"/>
        <w:rPr>
          <w:rFonts w:ascii="Times New Roman" w:eastAsia="Times New Roman" w:hAnsi="Times New Roman" w:cs="Times New Roman"/>
          <w:color w:val="000000"/>
          <w:sz w:val="28"/>
          <w:szCs w:val="28"/>
        </w:rPr>
      </w:pPr>
    </w:p>
    <w:p w14:paraId="2035FE5C" w14:textId="77777777" w:rsidR="003E10B7"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Summary assessment scale: national and ECTS</w:t>
      </w:r>
    </w:p>
    <w:tbl>
      <w:tblPr>
        <w:tblStyle w:val="af9"/>
        <w:tblW w:w="9624" w:type="dxa"/>
        <w:tblInd w:w="10" w:type="dxa"/>
        <w:tblLayout w:type="fixed"/>
        <w:tblLook w:val="0000" w:firstRow="0" w:lastRow="0" w:firstColumn="0" w:lastColumn="0" w:noHBand="0" w:noVBand="0"/>
      </w:tblPr>
      <w:tblGrid>
        <w:gridCol w:w="1970"/>
        <w:gridCol w:w="1540"/>
        <w:gridCol w:w="3581"/>
        <w:gridCol w:w="2533"/>
      </w:tblGrid>
      <w:tr w:rsidR="003E10B7" w14:paraId="5958B6D9" w14:textId="77777777">
        <w:trPr>
          <w:trHeight w:val="659"/>
        </w:trPr>
        <w:tc>
          <w:tcPr>
            <w:tcW w:w="1970" w:type="dxa"/>
            <w:vMerge w:val="restart"/>
            <w:tcBorders>
              <w:top w:val="single" w:sz="4" w:space="0" w:color="000000"/>
              <w:left w:val="single" w:sz="4" w:space="0" w:color="000000"/>
            </w:tcBorders>
            <w:shd w:val="clear" w:color="auto" w:fill="FFFFFF"/>
            <w:vAlign w:val="center"/>
          </w:tcPr>
          <w:p w14:paraId="526BC1B3"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0AF2C54D"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1E87C336"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r>
      <w:tr w:rsidR="003E10B7" w14:paraId="466A0A4F" w14:textId="77777777">
        <w:trPr>
          <w:trHeight w:val="981"/>
        </w:trPr>
        <w:tc>
          <w:tcPr>
            <w:tcW w:w="1970" w:type="dxa"/>
            <w:vMerge/>
            <w:tcBorders>
              <w:top w:val="single" w:sz="4" w:space="0" w:color="000000"/>
              <w:left w:val="single" w:sz="4" w:space="0" w:color="000000"/>
            </w:tcBorders>
            <w:shd w:val="clear" w:color="auto" w:fill="FFFFFF"/>
            <w:vAlign w:val="center"/>
          </w:tcPr>
          <w:p w14:paraId="3B6B8091"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26301D6F"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3581" w:type="dxa"/>
            <w:tcBorders>
              <w:top w:val="single" w:sz="4" w:space="0" w:color="000000"/>
              <w:left w:val="single" w:sz="4" w:space="0" w:color="000000"/>
            </w:tcBorders>
            <w:shd w:val="clear" w:color="auto" w:fill="FFFFFF"/>
            <w:vAlign w:val="center"/>
          </w:tcPr>
          <w:p w14:paraId="1EE5EE3D"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75F15580"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 pass/fail (credit)</w:t>
            </w:r>
          </w:p>
        </w:tc>
      </w:tr>
      <w:tr w:rsidR="003E10B7" w14:paraId="57D788AE" w14:textId="77777777">
        <w:trPr>
          <w:trHeight w:val="362"/>
        </w:trPr>
        <w:tc>
          <w:tcPr>
            <w:tcW w:w="1970" w:type="dxa"/>
            <w:tcBorders>
              <w:top w:val="single" w:sz="4" w:space="0" w:color="000000"/>
              <w:left w:val="single" w:sz="4" w:space="0" w:color="000000"/>
            </w:tcBorders>
            <w:shd w:val="clear" w:color="auto" w:fill="FFFFFF"/>
          </w:tcPr>
          <w:p w14:paraId="6D1A4772"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90 – 100</w:t>
            </w:r>
          </w:p>
        </w:tc>
        <w:tc>
          <w:tcPr>
            <w:tcW w:w="1540" w:type="dxa"/>
            <w:tcBorders>
              <w:top w:val="single" w:sz="4" w:space="0" w:color="000000"/>
              <w:left w:val="single" w:sz="4" w:space="0" w:color="000000"/>
            </w:tcBorders>
            <w:shd w:val="clear" w:color="auto" w:fill="FFFFFF"/>
          </w:tcPr>
          <w:p w14:paraId="2433DCF2"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p>
        </w:tc>
        <w:tc>
          <w:tcPr>
            <w:tcW w:w="3581" w:type="dxa"/>
            <w:tcBorders>
              <w:top w:val="single" w:sz="4" w:space="0" w:color="000000"/>
              <w:left w:val="single" w:sz="4" w:space="0" w:color="000000"/>
            </w:tcBorders>
            <w:shd w:val="clear" w:color="auto" w:fill="FFFFFF"/>
          </w:tcPr>
          <w:p w14:paraId="74B0058E"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1FD20A08"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pass</w:t>
            </w:r>
          </w:p>
        </w:tc>
      </w:tr>
      <w:tr w:rsidR="003E10B7" w14:paraId="31B4B3CE" w14:textId="77777777">
        <w:trPr>
          <w:trHeight w:val="357"/>
        </w:trPr>
        <w:tc>
          <w:tcPr>
            <w:tcW w:w="1970" w:type="dxa"/>
            <w:tcBorders>
              <w:top w:val="single" w:sz="4" w:space="0" w:color="000000"/>
              <w:left w:val="single" w:sz="4" w:space="0" w:color="000000"/>
            </w:tcBorders>
            <w:shd w:val="clear" w:color="auto" w:fill="FFFFFF"/>
          </w:tcPr>
          <w:p w14:paraId="02A368C3"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82 – 89</w:t>
            </w:r>
          </w:p>
        </w:tc>
        <w:tc>
          <w:tcPr>
            <w:tcW w:w="1540" w:type="dxa"/>
            <w:tcBorders>
              <w:top w:val="single" w:sz="4" w:space="0" w:color="000000"/>
              <w:left w:val="single" w:sz="4" w:space="0" w:color="000000"/>
            </w:tcBorders>
            <w:shd w:val="clear" w:color="auto" w:fill="FFFFFF"/>
          </w:tcPr>
          <w:p w14:paraId="51F6A362"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w:t>
            </w:r>
          </w:p>
        </w:tc>
        <w:tc>
          <w:tcPr>
            <w:tcW w:w="3581" w:type="dxa"/>
            <w:vMerge w:val="restart"/>
            <w:tcBorders>
              <w:top w:val="single" w:sz="4" w:space="0" w:color="000000"/>
              <w:left w:val="single" w:sz="4" w:space="0" w:color="000000"/>
            </w:tcBorders>
            <w:shd w:val="clear" w:color="auto" w:fill="FFFFFF"/>
          </w:tcPr>
          <w:p w14:paraId="7DE6B653"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16ED8930"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3E10B7" w14:paraId="3874E40D" w14:textId="77777777">
        <w:trPr>
          <w:trHeight w:val="353"/>
        </w:trPr>
        <w:tc>
          <w:tcPr>
            <w:tcW w:w="1970" w:type="dxa"/>
            <w:tcBorders>
              <w:top w:val="single" w:sz="4" w:space="0" w:color="000000"/>
              <w:left w:val="single" w:sz="4" w:space="0" w:color="000000"/>
            </w:tcBorders>
            <w:shd w:val="clear" w:color="auto" w:fill="FFFFFF"/>
          </w:tcPr>
          <w:p w14:paraId="7C62B69B"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75 – 81</w:t>
            </w:r>
          </w:p>
        </w:tc>
        <w:tc>
          <w:tcPr>
            <w:tcW w:w="1540" w:type="dxa"/>
            <w:tcBorders>
              <w:top w:val="single" w:sz="4" w:space="0" w:color="000000"/>
              <w:left w:val="single" w:sz="4" w:space="0" w:color="000000"/>
            </w:tcBorders>
            <w:shd w:val="clear" w:color="auto" w:fill="FFFFFF"/>
          </w:tcPr>
          <w:p w14:paraId="7204512A"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p>
        </w:tc>
        <w:tc>
          <w:tcPr>
            <w:tcW w:w="3581" w:type="dxa"/>
            <w:vMerge/>
            <w:tcBorders>
              <w:top w:val="single" w:sz="4" w:space="0" w:color="000000"/>
              <w:left w:val="single" w:sz="4" w:space="0" w:color="000000"/>
            </w:tcBorders>
            <w:shd w:val="clear" w:color="auto" w:fill="FFFFFF"/>
          </w:tcPr>
          <w:p w14:paraId="2AAAB803"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72621963"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3E10B7" w14:paraId="3F213F7C" w14:textId="77777777">
        <w:trPr>
          <w:trHeight w:val="364"/>
        </w:trPr>
        <w:tc>
          <w:tcPr>
            <w:tcW w:w="1970" w:type="dxa"/>
            <w:tcBorders>
              <w:top w:val="single" w:sz="4" w:space="0" w:color="000000"/>
              <w:left w:val="single" w:sz="4" w:space="0" w:color="000000"/>
            </w:tcBorders>
            <w:shd w:val="clear" w:color="auto" w:fill="FFFFFF"/>
          </w:tcPr>
          <w:p w14:paraId="775D8E93"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68 – 74</w:t>
            </w:r>
          </w:p>
        </w:tc>
        <w:tc>
          <w:tcPr>
            <w:tcW w:w="1540" w:type="dxa"/>
            <w:tcBorders>
              <w:top w:val="single" w:sz="4" w:space="0" w:color="000000"/>
              <w:left w:val="single" w:sz="4" w:space="0" w:color="000000"/>
            </w:tcBorders>
            <w:shd w:val="clear" w:color="auto" w:fill="FFFFFF"/>
          </w:tcPr>
          <w:p w14:paraId="5B33A505"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w:t>
            </w:r>
          </w:p>
        </w:tc>
        <w:tc>
          <w:tcPr>
            <w:tcW w:w="3581" w:type="dxa"/>
            <w:vMerge w:val="restart"/>
            <w:tcBorders>
              <w:top w:val="single" w:sz="4" w:space="0" w:color="000000"/>
              <w:left w:val="single" w:sz="4" w:space="0" w:color="000000"/>
            </w:tcBorders>
            <w:shd w:val="clear" w:color="auto" w:fill="FFFFFF"/>
          </w:tcPr>
          <w:p w14:paraId="674EA853"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4F9C6D7D"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3E10B7" w14:paraId="56B14CA0" w14:textId="77777777">
        <w:trPr>
          <w:trHeight w:val="344"/>
        </w:trPr>
        <w:tc>
          <w:tcPr>
            <w:tcW w:w="1970" w:type="dxa"/>
            <w:tcBorders>
              <w:top w:val="single" w:sz="4" w:space="0" w:color="000000"/>
              <w:left w:val="single" w:sz="4" w:space="0" w:color="000000"/>
            </w:tcBorders>
            <w:shd w:val="clear" w:color="auto" w:fill="FFFFFF"/>
          </w:tcPr>
          <w:p w14:paraId="798D412C"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60 – 67</w:t>
            </w:r>
          </w:p>
        </w:tc>
        <w:tc>
          <w:tcPr>
            <w:tcW w:w="1540" w:type="dxa"/>
            <w:tcBorders>
              <w:top w:val="single" w:sz="4" w:space="0" w:color="000000"/>
              <w:left w:val="single" w:sz="4" w:space="0" w:color="000000"/>
            </w:tcBorders>
            <w:shd w:val="clear" w:color="auto" w:fill="FFFFFF"/>
          </w:tcPr>
          <w:p w14:paraId="3B0A3FFA"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w:t>
            </w:r>
          </w:p>
        </w:tc>
        <w:tc>
          <w:tcPr>
            <w:tcW w:w="3581" w:type="dxa"/>
            <w:vMerge/>
            <w:tcBorders>
              <w:top w:val="single" w:sz="4" w:space="0" w:color="000000"/>
              <w:left w:val="single" w:sz="4" w:space="0" w:color="000000"/>
            </w:tcBorders>
            <w:shd w:val="clear" w:color="auto" w:fill="FFFFFF"/>
          </w:tcPr>
          <w:p w14:paraId="13453190"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608B2FB0" w14:textId="77777777" w:rsidR="003E10B7" w:rsidRDefault="003E10B7">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3E10B7" w14:paraId="602E6040" w14:textId="77777777">
        <w:trPr>
          <w:trHeight w:val="1362"/>
        </w:trPr>
        <w:tc>
          <w:tcPr>
            <w:tcW w:w="1970" w:type="dxa"/>
            <w:tcBorders>
              <w:top w:val="single" w:sz="4" w:space="0" w:color="000000"/>
              <w:left w:val="single" w:sz="4" w:space="0" w:color="000000"/>
            </w:tcBorders>
            <w:shd w:val="clear" w:color="auto" w:fill="FFFFFF"/>
          </w:tcPr>
          <w:p w14:paraId="6AD58039"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35 – 59</w:t>
            </w:r>
          </w:p>
        </w:tc>
        <w:tc>
          <w:tcPr>
            <w:tcW w:w="1540" w:type="dxa"/>
            <w:tcBorders>
              <w:top w:val="single" w:sz="4" w:space="0" w:color="000000"/>
              <w:left w:val="single" w:sz="4" w:space="0" w:color="000000"/>
            </w:tcBorders>
            <w:shd w:val="clear" w:color="auto" w:fill="FFFFFF"/>
          </w:tcPr>
          <w:p w14:paraId="1BA4EC57"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FХ</w:t>
            </w:r>
          </w:p>
        </w:tc>
        <w:tc>
          <w:tcPr>
            <w:tcW w:w="3581" w:type="dxa"/>
            <w:tcBorders>
              <w:top w:val="single" w:sz="4" w:space="0" w:color="000000"/>
              <w:left w:val="single" w:sz="4" w:space="0" w:color="000000"/>
            </w:tcBorders>
            <w:shd w:val="clear" w:color="auto" w:fill="FFFFFF"/>
          </w:tcPr>
          <w:p w14:paraId="210B9329"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54193F4B"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679E1150" w14:textId="77777777" w:rsidR="003E10B7" w:rsidRDefault="003E10B7">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p>
          <w:p w14:paraId="360B0793"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r>
      <w:tr w:rsidR="003E10B7" w14:paraId="3AFAF451"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6E2F6CE3"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2C71210D" w14:textId="77777777" w:rsidR="003E10B7"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0B0DA872"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2603E426"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7E544B42" w14:textId="77777777" w:rsidR="003E10B7" w:rsidRDefault="003E10B7">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p>
          <w:p w14:paraId="02D831CB" w14:textId="77777777" w:rsidR="003E10B7"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r>
    </w:tbl>
    <w:p w14:paraId="487B8A6A"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4679DDD3"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Discipline’s Policy:</w:t>
      </w:r>
    </w:p>
    <w:p w14:paraId="4C3FAEE9"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regularly attend lectures and practical classes;</w:t>
      </w:r>
    </w:p>
    <w:p w14:paraId="4225F085"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work systematically and actively in lectures and practical classes;</w:t>
      </w:r>
    </w:p>
    <w:p w14:paraId="4488E9EB"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catch-up on missed classes;</w:t>
      </w:r>
    </w:p>
    <w:p w14:paraId="5382C0C6"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the tasks required by the syllabus in full and with appropriate quality;</w:t>
      </w:r>
    </w:p>
    <w:p w14:paraId="5A2A550E"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control and other independent work;</w:t>
      </w:r>
    </w:p>
    <w:p w14:paraId="250DCDDC"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adhere to the norms of academic behaviour and ethics.</w:t>
      </w:r>
    </w:p>
    <w:p w14:paraId="1D9F273F"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7DB169CF"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academic discipline “</w:t>
      </w:r>
      <w:r>
        <w:rPr>
          <w:rFonts w:ascii="Times New Roman" w:eastAsia="Times New Roman" w:hAnsi="Times New Roman" w:cs="Times New Roman"/>
          <w:sz w:val="28"/>
          <w:szCs w:val="28"/>
        </w:rPr>
        <w:t>Innovation and investment management”</w:t>
      </w:r>
      <w:r>
        <w:rPr>
          <w:rFonts w:ascii="Times New Roman" w:eastAsia="Times New Roman" w:hAnsi="Times New Roman" w:cs="Times New Roman"/>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w:t>
      </w:r>
      <w:r>
        <w:rPr>
          <w:rFonts w:ascii="Times New Roman" w:eastAsia="Times New Roman" w:hAnsi="Times New Roman" w:cs="Times New Roman"/>
          <w:color w:val="000000"/>
          <w:sz w:val="28"/>
          <w:szCs w:val="28"/>
        </w:rPr>
        <w:lastRenderedPageBreak/>
        <w:t>overloaded with quotations, which must be accompanied by references to primary sources. Violations of academic integrity include academic plagiarism, self-plagiarism, fabrication, falsification, copying, deception, bribery, and biased evaluation.</w:t>
      </w:r>
    </w:p>
    <w:p w14:paraId="1A3526CF"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041E8960"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2288E7DE" w14:textId="77777777" w:rsidR="003E10B7" w:rsidRDefault="003E10B7">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7933E7C4"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Methodological support of the academic discipline</w:t>
      </w:r>
    </w:p>
    <w:p w14:paraId="574F4C47" w14:textId="77777777" w:rsidR="003E10B7"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rFonts w:ascii="Times New Roman" w:eastAsia="Times New Roman" w:hAnsi="Times New Roman" w:cs="Times New Roman"/>
          <w:sz w:val="28"/>
          <w:szCs w:val="28"/>
        </w:rPr>
        <w:t>Innovation and investment management”</w:t>
      </w:r>
      <w:r>
        <w:rPr>
          <w:rFonts w:ascii="Times New Roman" w:eastAsia="Times New Roman" w:hAnsi="Times New Roman" w:cs="Times New Roman"/>
          <w:color w:val="000000"/>
          <w:sz w:val="28"/>
          <w:szCs w:val="28"/>
        </w:rPr>
        <w:t>.</w:t>
      </w:r>
    </w:p>
    <w:p w14:paraId="182E2639" w14:textId="77777777" w:rsidR="003E10B7" w:rsidRDefault="003E10B7">
      <w:pPr>
        <w:widowControl w:val="0"/>
        <w:shd w:val="clear" w:color="auto" w:fill="FFFFFF"/>
        <w:spacing w:after="0" w:line="240" w:lineRule="auto"/>
        <w:jc w:val="both"/>
        <w:rPr>
          <w:rFonts w:ascii="Times New Roman" w:eastAsia="Times New Roman" w:hAnsi="Times New Roman" w:cs="Times New Roman"/>
          <w:sz w:val="28"/>
          <w:szCs w:val="28"/>
        </w:rPr>
      </w:pPr>
    </w:p>
    <w:p w14:paraId="3D7D17CC" w14:textId="77777777" w:rsidR="003E10B7" w:rsidRDefault="00000000">
      <w:pPr>
        <w:widowControl w:val="0"/>
        <w:pBdr>
          <w:top w:val="nil"/>
          <w:left w:val="nil"/>
          <w:bottom w:val="nil"/>
          <w:right w:val="nil"/>
          <w:between w:val="nil"/>
        </w:pBdr>
        <w:tabs>
          <w:tab w:val="left" w:pos="993"/>
        </w:tabs>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Recommended sources of information:</w:t>
      </w:r>
    </w:p>
    <w:p w14:paraId="0306C4B4" w14:textId="77777777" w:rsidR="003E10B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bookmarkStart w:id="0" w:name="_heading=h.674h0v3hyzp8" w:colFirst="0" w:colLast="0"/>
      <w:bookmarkEnd w:id="0"/>
      <w:r>
        <w:rPr>
          <w:rFonts w:ascii="Times New Roman" w:eastAsia="Times New Roman" w:hAnsi="Times New Roman" w:cs="Times New Roman"/>
          <w:b/>
          <w:bCs/>
          <w:color w:val="000000"/>
          <w:sz w:val="28"/>
          <w:szCs w:val="28"/>
        </w:rPr>
        <w:t>Basic literature:</w:t>
      </w:r>
    </w:p>
    <w:p w14:paraId="35B4EDD4"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Investment management: study guide for students of the specialty 073 "Management". L.V. Shynkaruk, M.M. Dielini, T.O. Vlasenko, A.V. </w:t>
      </w:r>
      <w:proofErr w:type="spellStart"/>
      <w:r>
        <w:rPr>
          <w:rFonts w:ascii="Times New Roman" w:eastAsia="Times New Roman" w:hAnsi="Times New Roman" w:cs="Times New Roman"/>
          <w:color w:val="000000"/>
          <w:sz w:val="28"/>
          <w:szCs w:val="28"/>
        </w:rPr>
        <w:t>Dergach</w:t>
      </w:r>
      <w:proofErr w:type="spellEnd"/>
      <w:r>
        <w:rPr>
          <w:rFonts w:ascii="Times New Roman" w:eastAsia="Times New Roman" w:hAnsi="Times New Roman" w:cs="Times New Roman"/>
          <w:color w:val="000000"/>
          <w:sz w:val="28"/>
          <w:szCs w:val="28"/>
        </w:rPr>
        <w:t xml:space="preserve">. Kyiv: NULES, 2023. 336 p. </w:t>
      </w:r>
    </w:p>
    <w:p w14:paraId="7914BFF2"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Law of Ukraine "On Investment Activity" dated 18 September 1991 No. 1560-XII (as amended and supplemented). Official website of the Verkhovna Rada of Ukraine. Website. URL:</w:t>
      </w:r>
      <w:hyperlink r:id="rId9">
        <w:r>
          <w:rPr>
            <w:rFonts w:ascii="Times New Roman" w:eastAsia="Times New Roman" w:hAnsi="Times New Roman" w:cs="Times New Roman"/>
            <w:color w:val="000000"/>
            <w:sz w:val="28"/>
            <w:szCs w:val="28"/>
          </w:rPr>
          <w:t xml:space="preserve"> http://zakon2.rada.gov.ua/laws/main/1560-12</w:t>
        </w:r>
      </w:hyperlink>
      <w:r>
        <w:rPr>
          <w:rFonts w:ascii="Times New Roman" w:eastAsia="Times New Roman" w:hAnsi="Times New Roman" w:cs="Times New Roman"/>
          <w:color w:val="000000"/>
          <w:sz w:val="28"/>
          <w:szCs w:val="28"/>
        </w:rPr>
        <w:t xml:space="preserve">.  </w:t>
      </w:r>
    </w:p>
    <w:p w14:paraId="2C14A745"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Law of Ukraine "On Innovative Activity" dated 4 July 2002 No. 40-IV (as amended and supplemented). Official website of the Verkhovna Rada of Ukraine. Website. URL:</w:t>
      </w:r>
      <w:hyperlink r:id="rId10" w:anchor="Text">
        <w:r>
          <w:rPr>
            <w:rFonts w:ascii="Times New Roman" w:eastAsia="Times New Roman" w:hAnsi="Times New Roman" w:cs="Times New Roman"/>
            <w:color w:val="000000"/>
            <w:sz w:val="28"/>
            <w:szCs w:val="28"/>
          </w:rPr>
          <w:t xml:space="preserve"> https://zakon.rada.gov.ua/laws/show/40-15#Text</w:t>
        </w:r>
      </w:hyperlink>
      <w:r>
        <w:rPr>
          <w:rFonts w:ascii="Times New Roman" w:eastAsia="Times New Roman" w:hAnsi="Times New Roman" w:cs="Times New Roman"/>
          <w:color w:val="000000"/>
          <w:sz w:val="28"/>
          <w:szCs w:val="28"/>
        </w:rPr>
        <w:t xml:space="preserve">.  </w:t>
      </w:r>
    </w:p>
    <w:p w14:paraId="2F61BB63"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Vorzhakova</w:t>
      </w:r>
      <w:proofErr w:type="spellEnd"/>
      <w:r>
        <w:rPr>
          <w:rFonts w:ascii="Times New Roman" w:eastAsia="Times New Roman" w:hAnsi="Times New Roman" w:cs="Times New Roman"/>
          <w:color w:val="000000"/>
          <w:sz w:val="28"/>
          <w:szCs w:val="28"/>
        </w:rPr>
        <w:t xml:space="preserve"> Yu. P., </w:t>
      </w:r>
      <w:proofErr w:type="spellStart"/>
      <w:r>
        <w:rPr>
          <w:rFonts w:ascii="Times New Roman" w:eastAsia="Times New Roman" w:hAnsi="Times New Roman" w:cs="Times New Roman"/>
          <w:color w:val="000000"/>
          <w:sz w:val="28"/>
          <w:szCs w:val="28"/>
        </w:rPr>
        <w:t>Chuprina</w:t>
      </w:r>
      <w:proofErr w:type="spellEnd"/>
      <w:r>
        <w:rPr>
          <w:rFonts w:ascii="Times New Roman" w:eastAsia="Times New Roman" w:hAnsi="Times New Roman" w:cs="Times New Roman"/>
          <w:color w:val="000000"/>
          <w:sz w:val="28"/>
          <w:szCs w:val="28"/>
        </w:rPr>
        <w:t xml:space="preserve"> M. O. Innovation Management: Teaching and Methodological Guide. Kyiv: Igor Sikorsky Kyiv Polytechnic Institute, 2022. 130 p. </w:t>
      </w:r>
    </w:p>
    <w:p w14:paraId="535E9D14"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Zakharchenko, V. I., Kovtunenko, K. V., Lapteva, V. V. Innovation and Investment Management: A Study Guide. Kyiv: Helvetica Publishing House, 2025. 148 p.</w:t>
      </w:r>
    </w:p>
    <w:p w14:paraId="6FBCF97B"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Ivanova O. A. Economics and Organisation of Innovative Activity: Textbook. Kharkiv: NUA Publishing House, 2020. 108 p.</w:t>
      </w:r>
    </w:p>
    <w:p w14:paraId="3FBBCF22"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Investment Management: Methodological Guidelines for Preparing and Conducting the Consulting Game "</w:t>
      </w:r>
      <w:proofErr w:type="spellStart"/>
      <w:r>
        <w:rPr>
          <w:rFonts w:ascii="Times New Roman" w:eastAsia="Times New Roman" w:hAnsi="Times New Roman" w:cs="Times New Roman"/>
          <w:color w:val="000000"/>
          <w:sz w:val="28"/>
          <w:szCs w:val="28"/>
        </w:rPr>
        <w:t>Proektinvest</w:t>
      </w:r>
      <w:proofErr w:type="spellEnd"/>
      <w:r>
        <w:rPr>
          <w:rFonts w:ascii="Times New Roman" w:eastAsia="Times New Roman" w:hAnsi="Times New Roman" w:cs="Times New Roman"/>
          <w:color w:val="000000"/>
          <w:sz w:val="28"/>
          <w:szCs w:val="28"/>
        </w:rPr>
        <w:t xml:space="preserve">" / Compiled by: L. V. Shynkaruk, T. O. Vlasenko. Kyiv, 2020. 80 p. </w:t>
      </w:r>
    </w:p>
    <w:p w14:paraId="2306111D"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Kopytko</w:t>
      </w:r>
      <w:proofErr w:type="spellEnd"/>
      <w:r>
        <w:rPr>
          <w:rFonts w:ascii="Times New Roman" w:eastAsia="Times New Roman" w:hAnsi="Times New Roman" w:cs="Times New Roman"/>
          <w:color w:val="000000"/>
          <w:sz w:val="28"/>
          <w:szCs w:val="28"/>
        </w:rPr>
        <w:t xml:space="preserve"> M. I., Blaga N. V. Innovation and Investment Management: A Textbook in Diagrams and Tables. 2nd ed., supplemented and revised. Lviv: Lviv State University of Internal Affairs, 2022. 296 p. </w:t>
      </w:r>
    </w:p>
    <w:p w14:paraId="3ACB3D22"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Cherep O.G. Innovative Development of an Enterprise: A Textbook. Kyiv: Kondor, 2019. 548 p. </w:t>
      </w:r>
    </w:p>
    <w:p w14:paraId="21F512A7"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Yaroshevych</w:t>
      </w:r>
      <w:proofErr w:type="spellEnd"/>
      <w:r>
        <w:rPr>
          <w:rFonts w:ascii="Times New Roman" w:eastAsia="Times New Roman" w:hAnsi="Times New Roman" w:cs="Times New Roman"/>
          <w:color w:val="000000"/>
          <w:sz w:val="28"/>
          <w:szCs w:val="28"/>
        </w:rPr>
        <w:t xml:space="preserve">, N. B., Kondrat, I. Yu., &amp; </w:t>
      </w:r>
      <w:proofErr w:type="spellStart"/>
      <w:r>
        <w:rPr>
          <w:rFonts w:ascii="Times New Roman" w:eastAsia="Times New Roman" w:hAnsi="Times New Roman" w:cs="Times New Roman"/>
          <w:color w:val="000000"/>
          <w:sz w:val="28"/>
          <w:szCs w:val="28"/>
        </w:rPr>
        <w:t>Yakymiv</w:t>
      </w:r>
      <w:proofErr w:type="spellEnd"/>
      <w:r>
        <w:rPr>
          <w:rFonts w:ascii="Times New Roman" w:eastAsia="Times New Roman" w:hAnsi="Times New Roman" w:cs="Times New Roman"/>
          <w:color w:val="000000"/>
          <w:sz w:val="28"/>
          <w:szCs w:val="28"/>
        </w:rPr>
        <w:t xml:space="preserve">, A. I. State Management of Investment Activities: A Textbook. Lviv: Novyi Svit-2000, 2020. 429 p. </w:t>
      </w:r>
    </w:p>
    <w:p w14:paraId="51D94737"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lastRenderedPageBreak/>
        <w:t>Dvigun</w:t>
      </w:r>
      <w:proofErr w:type="spellEnd"/>
      <w:r>
        <w:rPr>
          <w:rFonts w:ascii="Times New Roman" w:eastAsia="Times New Roman" w:hAnsi="Times New Roman" w:cs="Times New Roman"/>
          <w:color w:val="000000"/>
          <w:sz w:val="28"/>
          <w:szCs w:val="28"/>
        </w:rPr>
        <w:t xml:space="preserve">, A., </w:t>
      </w: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 Levchenko, N., </w:t>
      </w:r>
      <w:proofErr w:type="spellStart"/>
      <w:r>
        <w:rPr>
          <w:rFonts w:ascii="Times New Roman" w:eastAsia="Times New Roman" w:hAnsi="Times New Roman" w:cs="Times New Roman"/>
          <w:color w:val="000000"/>
          <w:sz w:val="28"/>
          <w:szCs w:val="28"/>
        </w:rPr>
        <w:t>Shyshkanova</w:t>
      </w:r>
      <w:proofErr w:type="spellEnd"/>
      <w:r>
        <w:rPr>
          <w:rFonts w:ascii="Times New Roman" w:eastAsia="Times New Roman" w:hAnsi="Times New Roman" w:cs="Times New Roman"/>
          <w:color w:val="000000"/>
          <w:sz w:val="28"/>
          <w:szCs w:val="28"/>
        </w:rPr>
        <w:t>, G., &amp; Dmytrenko, R. (2022). Rational Use of Fresh Water as a Guarantee of Agribusiness Development in the Context of the Exacerbated Climate Crisis. Science and Innovation, 18(2), 85–99. https://doi.org/10.15407/scine18.02.085 (Scopus)</w:t>
      </w:r>
    </w:p>
    <w:p w14:paraId="178DEBD0"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Dvigun</w:t>
      </w:r>
      <w:proofErr w:type="spellEnd"/>
      <w:r>
        <w:rPr>
          <w:rFonts w:ascii="Times New Roman" w:eastAsia="Times New Roman" w:hAnsi="Times New Roman" w:cs="Times New Roman"/>
          <w:color w:val="000000"/>
          <w:sz w:val="28"/>
          <w:szCs w:val="28"/>
        </w:rPr>
        <w:t xml:space="preserve">, A., </w:t>
      </w: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 Levchenko, N., </w:t>
      </w:r>
      <w:proofErr w:type="spellStart"/>
      <w:r>
        <w:rPr>
          <w:rFonts w:ascii="Times New Roman" w:eastAsia="Times New Roman" w:hAnsi="Times New Roman" w:cs="Times New Roman"/>
          <w:color w:val="000000"/>
          <w:sz w:val="28"/>
          <w:szCs w:val="28"/>
        </w:rPr>
        <w:t>Shyshkanova</w:t>
      </w:r>
      <w:proofErr w:type="spellEnd"/>
      <w:r>
        <w:rPr>
          <w:rFonts w:ascii="Times New Roman" w:eastAsia="Times New Roman" w:hAnsi="Times New Roman" w:cs="Times New Roman"/>
          <w:color w:val="000000"/>
          <w:sz w:val="28"/>
          <w:szCs w:val="28"/>
        </w:rPr>
        <w:t>, G., Platonov, O., &amp; Zalizniuk, V. (2022). Increasing Ambition to Reduce the Carbon Trace of Multimodal Transportation in the Conditions of Ukraine’s Economy Transformation Towards Climate Neutrality. Science and Innovation, 18(1), 96–111. https://doi.org/10.15407/scine18.01.096 (Scopus)</w:t>
      </w:r>
    </w:p>
    <w:p w14:paraId="3A9C5471"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Lagodiienko</w:t>
      </w:r>
      <w:proofErr w:type="spellEnd"/>
      <w:r>
        <w:rPr>
          <w:rFonts w:ascii="Times New Roman" w:eastAsia="Times New Roman" w:hAnsi="Times New Roman" w:cs="Times New Roman"/>
          <w:color w:val="000000"/>
          <w:sz w:val="28"/>
          <w:szCs w:val="28"/>
        </w:rPr>
        <w:t xml:space="preserve"> V.V., </w:t>
      </w: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 </w:t>
      </w:r>
      <w:proofErr w:type="gramStart"/>
      <w:r>
        <w:rPr>
          <w:rFonts w:ascii="Times New Roman" w:eastAsia="Times New Roman" w:hAnsi="Times New Roman" w:cs="Times New Roman"/>
          <w:color w:val="000000"/>
          <w:sz w:val="28"/>
          <w:szCs w:val="28"/>
        </w:rPr>
        <w:t>I. ,</w:t>
      </w:r>
      <w:proofErr w:type="gramEnd"/>
      <w:r>
        <w:rPr>
          <w:rFonts w:ascii="Times New Roman" w:eastAsia="Times New Roman" w:hAnsi="Times New Roman" w:cs="Times New Roman"/>
          <w:color w:val="000000"/>
          <w:sz w:val="28"/>
          <w:szCs w:val="28"/>
        </w:rPr>
        <w:t xml:space="preserve"> Petrenko O.P., </w:t>
      </w:r>
      <w:proofErr w:type="spellStart"/>
      <w:r>
        <w:rPr>
          <w:rFonts w:ascii="Times New Roman" w:eastAsia="Times New Roman" w:hAnsi="Times New Roman" w:cs="Times New Roman"/>
          <w:color w:val="000000"/>
          <w:sz w:val="28"/>
          <w:szCs w:val="28"/>
        </w:rPr>
        <w:t>Tepliuk</w:t>
      </w:r>
      <w:proofErr w:type="spellEnd"/>
      <w:r>
        <w:rPr>
          <w:rFonts w:ascii="Times New Roman" w:eastAsia="Times New Roman" w:hAnsi="Times New Roman" w:cs="Times New Roman"/>
          <w:color w:val="000000"/>
          <w:sz w:val="28"/>
          <w:szCs w:val="28"/>
        </w:rPr>
        <w:t xml:space="preserve"> M.A., </w:t>
      </w:r>
      <w:proofErr w:type="spellStart"/>
      <w:r>
        <w:rPr>
          <w:rFonts w:ascii="Times New Roman" w:eastAsia="Times New Roman" w:hAnsi="Times New Roman" w:cs="Times New Roman"/>
          <w:color w:val="000000"/>
          <w:sz w:val="28"/>
          <w:szCs w:val="28"/>
        </w:rPr>
        <w:t>Budiaiev</w:t>
      </w:r>
      <w:proofErr w:type="spellEnd"/>
      <w:r>
        <w:rPr>
          <w:rFonts w:ascii="Times New Roman" w:eastAsia="Times New Roman" w:hAnsi="Times New Roman" w:cs="Times New Roman"/>
          <w:color w:val="000000"/>
          <w:sz w:val="28"/>
          <w:szCs w:val="28"/>
        </w:rPr>
        <w:t xml:space="preserve"> M.O. Economic aspects of assessment and marketing of carbon emissions by enterprises based on the principles of sustainable development (2023). Scientific Bulletin of the National Mining University, 2023, No. 3. pp. 111-117. URL: https://doi.org/10.33271/nvngu/2023-3/111 (Scopus)</w:t>
      </w:r>
    </w:p>
    <w:p w14:paraId="1A6050A4"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Olena Vakulchyk, Valeriia Fesenko, Oksana Knyshek, Lyudmyla Babenko, </w:t>
      </w:r>
      <w:proofErr w:type="spellStart"/>
      <w:r>
        <w:rPr>
          <w:rFonts w:ascii="Times New Roman" w:eastAsia="Times New Roman" w:hAnsi="Times New Roman" w:cs="Times New Roman"/>
          <w:color w:val="000000"/>
          <w:sz w:val="28"/>
          <w:szCs w:val="28"/>
        </w:rPr>
        <w:t>Liudmyla</w:t>
      </w:r>
      <w:proofErr w:type="spellEnd"/>
      <w:r>
        <w:rPr>
          <w:rFonts w:ascii="Times New Roman" w:eastAsia="Times New Roman" w:hAnsi="Times New Roman" w:cs="Times New Roman"/>
          <w:color w:val="000000"/>
          <w:sz w:val="28"/>
          <w:szCs w:val="28"/>
        </w:rPr>
        <w:t xml:space="preserve"> Horbach, Oleksandr </w:t>
      </w: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(2023). Analysis of an Enterprise’s Compliance with the Authorised Economic Operator Status in the Context of the Customs Policy of Ukraine. Lecture Notes in Computer Science, 13957, 228-241. DOI: 10.1007/978-3-031-36808-0_15.     URL: https://dl.acm.org/doi/abs/10.1007/978-3-031-36808-0_15 (Scopus)</w:t>
      </w:r>
    </w:p>
    <w:p w14:paraId="7C025208"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Dombrovska</w:t>
      </w:r>
      <w:proofErr w:type="spellEnd"/>
      <w:r>
        <w:rPr>
          <w:rFonts w:ascii="Times New Roman" w:eastAsia="Times New Roman" w:hAnsi="Times New Roman" w:cs="Times New Roman"/>
          <w:color w:val="000000"/>
          <w:sz w:val="28"/>
          <w:szCs w:val="28"/>
        </w:rPr>
        <w:t xml:space="preserve">, Svitlana, </w:t>
      </w: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O.І., Prykhodko, Igor, V., Kovalchuk, Veronika, O., Vasylenko, Oleksandr. Evaluation of organisational and resource provision for the functioning of territorial communities in the financial security management system. Financial and Credit Activity: Problems of Theory and Practice, 2024. Vol. 6 (59). pp. 251-260. DOI: 10.55643/fcaptp.6.59.2024.4584 (Scopus)</w:t>
      </w:r>
    </w:p>
    <w:p w14:paraId="0011EE6D"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O.I., </w:t>
      </w:r>
      <w:proofErr w:type="spellStart"/>
      <w:r>
        <w:rPr>
          <w:rFonts w:ascii="Times New Roman" w:eastAsia="Times New Roman" w:hAnsi="Times New Roman" w:cs="Times New Roman"/>
          <w:color w:val="000000"/>
          <w:sz w:val="28"/>
          <w:szCs w:val="28"/>
        </w:rPr>
        <w:t>Sitsinskyi</w:t>
      </w:r>
      <w:proofErr w:type="spellEnd"/>
      <w:r>
        <w:rPr>
          <w:rFonts w:ascii="Times New Roman" w:eastAsia="Times New Roman" w:hAnsi="Times New Roman" w:cs="Times New Roman"/>
          <w:color w:val="000000"/>
          <w:sz w:val="28"/>
          <w:szCs w:val="28"/>
        </w:rPr>
        <w:t>, N.A., Paliy, S.A. Principles of implementation of state policy for comprehensive sustainable innovation and investment development of territories in the context of digital transformation. Public Administration: Improvement and Development. 2025. No. 9. URL:</w:t>
      </w:r>
      <w:hyperlink r:id="rId11">
        <w:r>
          <w:rPr>
            <w:rFonts w:ascii="Times New Roman" w:eastAsia="Times New Roman" w:hAnsi="Times New Roman" w:cs="Times New Roman"/>
            <w:color w:val="000000"/>
            <w:sz w:val="28"/>
            <w:szCs w:val="28"/>
          </w:rPr>
          <w:t xml:space="preserve"> https://www.nayka.com.ua/index.php/dy/article/view/7507/7633</w:t>
        </w:r>
      </w:hyperlink>
    </w:p>
    <w:p w14:paraId="4AF48644"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O.I., </w:t>
      </w:r>
      <w:proofErr w:type="spellStart"/>
      <w:r>
        <w:rPr>
          <w:rFonts w:ascii="Times New Roman" w:eastAsia="Times New Roman" w:hAnsi="Times New Roman" w:cs="Times New Roman"/>
          <w:color w:val="000000"/>
          <w:sz w:val="28"/>
          <w:szCs w:val="28"/>
        </w:rPr>
        <w:t>Sitsinskyi</w:t>
      </w:r>
      <w:proofErr w:type="spellEnd"/>
      <w:r>
        <w:rPr>
          <w:rFonts w:ascii="Times New Roman" w:eastAsia="Times New Roman" w:hAnsi="Times New Roman" w:cs="Times New Roman"/>
          <w:color w:val="000000"/>
          <w:sz w:val="28"/>
          <w:szCs w:val="28"/>
        </w:rPr>
        <w:t xml:space="preserve"> N.A., Paliy S.A. The content of organisational and economic mechanisms for implementing state policy on comprehensive sustainable innovation and investment development of territories, taking into account the characteristics and basic patterns of digitalisation. Investments: practice and experience. 2025. No. 18. P. 198-202.</w:t>
      </w:r>
    </w:p>
    <w:p w14:paraId="21CFC12A"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O.I., </w:t>
      </w:r>
      <w:proofErr w:type="spellStart"/>
      <w:r>
        <w:rPr>
          <w:rFonts w:ascii="Times New Roman" w:eastAsia="Times New Roman" w:hAnsi="Times New Roman" w:cs="Times New Roman"/>
          <w:color w:val="000000"/>
          <w:sz w:val="28"/>
          <w:szCs w:val="28"/>
        </w:rPr>
        <w:t>Sitsinskyi</w:t>
      </w:r>
      <w:proofErr w:type="spellEnd"/>
      <w:r>
        <w:rPr>
          <w:rFonts w:ascii="Times New Roman" w:eastAsia="Times New Roman" w:hAnsi="Times New Roman" w:cs="Times New Roman"/>
          <w:color w:val="000000"/>
          <w:sz w:val="28"/>
          <w:szCs w:val="28"/>
        </w:rPr>
        <w:t xml:space="preserve"> N.A., Paliy S.A.  Problems and prospects for the implementation of the digital transformation strategy in the comprehensive sustainable innovation and investment development of territories. Successes and achievements in science. 2025. No. 9 (19). P. 395-402.</w:t>
      </w:r>
    </w:p>
    <w:p w14:paraId="3A321CEF"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Datsiy</w:t>
      </w:r>
      <w:proofErr w:type="spellEnd"/>
      <w:r>
        <w:rPr>
          <w:rFonts w:ascii="Times New Roman" w:eastAsia="Times New Roman" w:hAnsi="Times New Roman" w:cs="Times New Roman"/>
          <w:color w:val="000000"/>
          <w:sz w:val="28"/>
          <w:szCs w:val="28"/>
        </w:rPr>
        <w:t xml:space="preserve"> O.I., Kalina I.I., </w:t>
      </w:r>
      <w:proofErr w:type="spellStart"/>
      <w:r>
        <w:rPr>
          <w:rFonts w:ascii="Times New Roman" w:eastAsia="Times New Roman" w:hAnsi="Times New Roman" w:cs="Times New Roman"/>
          <w:color w:val="000000"/>
          <w:sz w:val="28"/>
          <w:szCs w:val="28"/>
        </w:rPr>
        <w:t>Karbovska</w:t>
      </w:r>
      <w:proofErr w:type="spellEnd"/>
      <w:r>
        <w:rPr>
          <w:rFonts w:ascii="Times New Roman" w:eastAsia="Times New Roman" w:hAnsi="Times New Roman" w:cs="Times New Roman"/>
          <w:color w:val="000000"/>
          <w:sz w:val="28"/>
          <w:szCs w:val="28"/>
        </w:rPr>
        <w:t xml:space="preserve"> L.O. Theoretical foundations of managing the modelling of agricultural enterprise stability projects. Scientific Bulletin of Uzhhorod National University. Issue 56, 2025, pp. 132–135.</w:t>
      </w:r>
    </w:p>
    <w:p w14:paraId="2F8CCAE7"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lastRenderedPageBreak/>
        <w:t>Datsiy</w:t>
      </w:r>
      <w:proofErr w:type="spellEnd"/>
      <w:r>
        <w:rPr>
          <w:rFonts w:ascii="Times New Roman" w:eastAsia="Times New Roman" w:hAnsi="Times New Roman" w:cs="Times New Roman"/>
          <w:color w:val="000000"/>
          <w:sz w:val="28"/>
          <w:szCs w:val="28"/>
        </w:rPr>
        <w:t xml:space="preserve"> O.I., Dragan I.V., </w:t>
      </w:r>
      <w:proofErr w:type="spellStart"/>
      <w:r>
        <w:rPr>
          <w:rFonts w:ascii="Times New Roman" w:eastAsia="Times New Roman" w:hAnsi="Times New Roman" w:cs="Times New Roman"/>
          <w:color w:val="000000"/>
          <w:sz w:val="28"/>
          <w:szCs w:val="28"/>
        </w:rPr>
        <w:t>Tubolets</w:t>
      </w:r>
      <w:proofErr w:type="spellEnd"/>
      <w:r>
        <w:rPr>
          <w:rFonts w:ascii="Times New Roman" w:eastAsia="Times New Roman" w:hAnsi="Times New Roman" w:cs="Times New Roman"/>
          <w:color w:val="000000"/>
          <w:sz w:val="28"/>
          <w:szCs w:val="28"/>
        </w:rPr>
        <w:t xml:space="preserve"> I.I., </w:t>
      </w:r>
      <w:proofErr w:type="spellStart"/>
      <w:r>
        <w:rPr>
          <w:rFonts w:ascii="Times New Roman" w:eastAsia="Times New Roman" w:hAnsi="Times New Roman" w:cs="Times New Roman"/>
          <w:color w:val="000000"/>
          <w:sz w:val="28"/>
          <w:szCs w:val="28"/>
        </w:rPr>
        <w:t>Loshchiyin</w:t>
      </w:r>
      <w:proofErr w:type="spellEnd"/>
      <w:r>
        <w:rPr>
          <w:rFonts w:ascii="Times New Roman" w:eastAsia="Times New Roman" w:hAnsi="Times New Roman" w:cs="Times New Roman"/>
          <w:color w:val="000000"/>
          <w:sz w:val="28"/>
          <w:szCs w:val="28"/>
        </w:rPr>
        <w:t xml:space="preserve"> O.M. Innovative activity in the transport support system for the functioning of the pharmaceutical market. Investments: practice and experience. 2025. No. 13. pp. 48-52.</w:t>
      </w:r>
    </w:p>
    <w:p w14:paraId="4750BDBC"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N.V., </w:t>
      </w: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O.I. Effective development of innovative activity in the field of scientific research and projects in Ukraine. Successes and achievements in science. 2025. No. 5 (15). pp. 645-653.</w:t>
      </w:r>
    </w:p>
    <w:p w14:paraId="7F8BA983"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Zgalat-Lozynska</w:t>
      </w:r>
      <w:proofErr w:type="spellEnd"/>
      <w:r>
        <w:rPr>
          <w:rFonts w:ascii="Times New Roman" w:eastAsia="Times New Roman" w:hAnsi="Times New Roman" w:cs="Times New Roman"/>
          <w:color w:val="000000"/>
          <w:sz w:val="28"/>
          <w:szCs w:val="28"/>
        </w:rPr>
        <w:t xml:space="preserve">, L., </w:t>
      </w: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 &amp; </w:t>
      </w:r>
      <w:proofErr w:type="spellStart"/>
      <w:r>
        <w:rPr>
          <w:rFonts w:ascii="Times New Roman" w:eastAsia="Times New Roman" w:hAnsi="Times New Roman" w:cs="Times New Roman"/>
          <w:color w:val="000000"/>
          <w:sz w:val="28"/>
          <w:szCs w:val="28"/>
        </w:rPr>
        <w:t>Velychko</w:t>
      </w:r>
      <w:proofErr w:type="spellEnd"/>
      <w:r>
        <w:rPr>
          <w:rFonts w:ascii="Times New Roman" w:eastAsia="Times New Roman" w:hAnsi="Times New Roman" w:cs="Times New Roman"/>
          <w:color w:val="000000"/>
          <w:sz w:val="28"/>
          <w:szCs w:val="28"/>
        </w:rPr>
        <w:t>, A. Financial and credit instruments as a key factor in the development of investment activity in construction.  Economy and Society. 2024. No. 70. URL:</w:t>
      </w:r>
      <w:hyperlink r:id="rId12">
        <w:r>
          <w:rPr>
            <w:rFonts w:ascii="Times New Roman" w:eastAsia="Times New Roman" w:hAnsi="Times New Roman" w:cs="Times New Roman"/>
            <w:color w:val="000000"/>
            <w:sz w:val="28"/>
            <w:szCs w:val="28"/>
          </w:rPr>
          <w:t xml:space="preserve"> https://economyandsociety.in.ua/index.php/journal/article/view/5421/5365</w:t>
        </w:r>
      </w:hyperlink>
      <w:r>
        <w:rPr>
          <w:rFonts w:ascii="Times New Roman" w:eastAsia="Times New Roman" w:hAnsi="Times New Roman" w:cs="Times New Roman"/>
          <w:color w:val="000000"/>
          <w:sz w:val="28"/>
          <w:szCs w:val="28"/>
        </w:rPr>
        <w:t>.</w:t>
      </w:r>
    </w:p>
    <w:p w14:paraId="2BF30D16"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Datsiy</w:t>
      </w:r>
      <w:proofErr w:type="spellEnd"/>
      <w:r>
        <w:rPr>
          <w:rFonts w:ascii="Times New Roman" w:eastAsia="Times New Roman" w:hAnsi="Times New Roman" w:cs="Times New Roman"/>
          <w:color w:val="000000"/>
          <w:sz w:val="28"/>
          <w:szCs w:val="28"/>
        </w:rPr>
        <w:t xml:space="preserve"> O.I., Kalina I.I., </w:t>
      </w:r>
      <w:proofErr w:type="spellStart"/>
      <w:r>
        <w:rPr>
          <w:rFonts w:ascii="Times New Roman" w:eastAsia="Times New Roman" w:hAnsi="Times New Roman" w:cs="Times New Roman"/>
          <w:color w:val="000000"/>
          <w:sz w:val="28"/>
          <w:szCs w:val="28"/>
        </w:rPr>
        <w:t>Karbovska</w:t>
      </w:r>
      <w:proofErr w:type="spellEnd"/>
      <w:r>
        <w:rPr>
          <w:rFonts w:ascii="Times New Roman" w:eastAsia="Times New Roman" w:hAnsi="Times New Roman" w:cs="Times New Roman"/>
          <w:color w:val="000000"/>
          <w:sz w:val="28"/>
          <w:szCs w:val="28"/>
        </w:rPr>
        <w:t xml:space="preserve"> L.O. Modelling projects for the stable functioning of agricultural enterprises based on the management of competitive advantages. </w:t>
      </w:r>
      <w:proofErr w:type="spellStart"/>
      <w:r>
        <w:rPr>
          <w:rFonts w:ascii="Times New Roman" w:eastAsia="Times New Roman" w:hAnsi="Times New Roman" w:cs="Times New Roman"/>
          <w:color w:val="000000"/>
          <w:sz w:val="28"/>
          <w:szCs w:val="28"/>
        </w:rPr>
        <w:t>Agrosvit</w:t>
      </w:r>
      <w:proofErr w:type="spellEnd"/>
      <w:r>
        <w:rPr>
          <w:rFonts w:ascii="Times New Roman" w:eastAsia="Times New Roman" w:hAnsi="Times New Roman" w:cs="Times New Roman"/>
          <w:color w:val="000000"/>
          <w:sz w:val="28"/>
          <w:szCs w:val="28"/>
        </w:rPr>
        <w:t>. 2025. No. 11. Pp. 33-37.</w:t>
      </w:r>
    </w:p>
    <w:p w14:paraId="2649E0A2"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O.I., </w:t>
      </w:r>
      <w:proofErr w:type="spellStart"/>
      <w:r>
        <w:rPr>
          <w:rFonts w:ascii="Times New Roman" w:eastAsia="Times New Roman" w:hAnsi="Times New Roman" w:cs="Times New Roman"/>
          <w:color w:val="000000"/>
          <w:sz w:val="28"/>
          <w:szCs w:val="28"/>
        </w:rPr>
        <w:t>Kovalskyi</w:t>
      </w:r>
      <w:proofErr w:type="spellEnd"/>
      <w:r>
        <w:rPr>
          <w:rFonts w:ascii="Times New Roman" w:eastAsia="Times New Roman" w:hAnsi="Times New Roman" w:cs="Times New Roman"/>
          <w:color w:val="000000"/>
          <w:sz w:val="28"/>
          <w:szCs w:val="28"/>
        </w:rPr>
        <w:t xml:space="preserve"> M.R. Modelling processes of managing socio-economic territorial development. Public Administration. 2022. No. 1 (29). Pp. 36-41.</w:t>
      </w:r>
    </w:p>
    <w:p w14:paraId="7B3B5FF2" w14:textId="77777777" w:rsidR="003E10B7" w:rsidRDefault="00000000">
      <w:pPr>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Datsii</w:t>
      </w:r>
      <w:proofErr w:type="spellEnd"/>
      <w:r>
        <w:rPr>
          <w:rFonts w:ascii="Times New Roman" w:eastAsia="Times New Roman" w:hAnsi="Times New Roman" w:cs="Times New Roman"/>
          <w:color w:val="000000"/>
          <w:sz w:val="28"/>
          <w:szCs w:val="28"/>
        </w:rPr>
        <w:t xml:space="preserve"> O. I., </w:t>
      </w:r>
      <w:proofErr w:type="spellStart"/>
      <w:r>
        <w:rPr>
          <w:rFonts w:ascii="Times New Roman" w:eastAsia="Times New Roman" w:hAnsi="Times New Roman" w:cs="Times New Roman"/>
          <w:color w:val="000000"/>
          <w:sz w:val="28"/>
          <w:szCs w:val="28"/>
        </w:rPr>
        <w:t>Pyrog</w:t>
      </w:r>
      <w:proofErr w:type="spellEnd"/>
      <w:r>
        <w:rPr>
          <w:rFonts w:ascii="Times New Roman" w:eastAsia="Times New Roman" w:hAnsi="Times New Roman" w:cs="Times New Roman"/>
          <w:color w:val="000000"/>
          <w:sz w:val="28"/>
          <w:szCs w:val="28"/>
        </w:rPr>
        <w:t xml:space="preserve"> V. V., </w:t>
      </w:r>
      <w:proofErr w:type="spellStart"/>
      <w:r>
        <w:rPr>
          <w:rFonts w:ascii="Times New Roman" w:eastAsia="Times New Roman" w:hAnsi="Times New Roman" w:cs="Times New Roman"/>
          <w:color w:val="000000"/>
          <w:sz w:val="28"/>
          <w:szCs w:val="28"/>
        </w:rPr>
        <w:t>Osatiuk</w:t>
      </w:r>
      <w:proofErr w:type="spellEnd"/>
      <w:r>
        <w:rPr>
          <w:rFonts w:ascii="Times New Roman" w:eastAsia="Times New Roman" w:hAnsi="Times New Roman" w:cs="Times New Roman"/>
          <w:color w:val="000000"/>
          <w:sz w:val="28"/>
          <w:szCs w:val="28"/>
        </w:rPr>
        <w:t xml:space="preserve"> A. V. Development of vertically integrated structures under the conditions of implementation of Ukraine's innovative agri-food policy. Scientific works of the MAUP. Economic sciences. 2023. No. 2 (69). Pp. 7-13.</w:t>
      </w:r>
    </w:p>
    <w:p w14:paraId="2FDCB07D" w14:textId="77777777" w:rsidR="003E10B7" w:rsidRDefault="003E10B7">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p>
    <w:p w14:paraId="406B82B4" w14:textId="77777777" w:rsidR="003E10B7" w:rsidRDefault="00000000">
      <w:pPr>
        <w:pBdr>
          <w:top w:val="nil"/>
          <w:left w:val="nil"/>
          <w:bottom w:val="nil"/>
          <w:right w:val="nil"/>
          <w:between w:val="nil"/>
        </w:pBdr>
        <w:spacing w:after="0" w:line="240" w:lineRule="auto"/>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Additional literature:</w:t>
      </w:r>
    </w:p>
    <w:p w14:paraId="7781FE51" w14:textId="77777777" w:rsidR="003E10B7" w:rsidRDefault="00000000">
      <w:pPr>
        <w:numPr>
          <w:ilvl w:val="0"/>
          <w:numId w:val="6"/>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Bannikov, V., </w:t>
      </w:r>
      <w:proofErr w:type="spellStart"/>
      <w:r>
        <w:rPr>
          <w:rFonts w:ascii="Times New Roman" w:eastAsia="Times New Roman" w:hAnsi="Times New Roman" w:cs="Times New Roman"/>
          <w:color w:val="000000"/>
          <w:sz w:val="28"/>
          <w:szCs w:val="28"/>
        </w:rPr>
        <w:t>Lobunets</w:t>
      </w:r>
      <w:proofErr w:type="spellEnd"/>
      <w:r>
        <w:rPr>
          <w:rFonts w:ascii="Times New Roman" w:eastAsia="Times New Roman" w:hAnsi="Times New Roman" w:cs="Times New Roman"/>
          <w:color w:val="000000"/>
          <w:sz w:val="28"/>
          <w:szCs w:val="28"/>
        </w:rPr>
        <w:t xml:space="preserve"> T., Buriak, I., </w:t>
      </w:r>
      <w:proofErr w:type="spellStart"/>
      <w:r>
        <w:rPr>
          <w:rFonts w:ascii="Times New Roman" w:eastAsia="Times New Roman" w:hAnsi="Times New Roman" w:cs="Times New Roman"/>
          <w:color w:val="000000"/>
          <w:sz w:val="28"/>
          <w:szCs w:val="28"/>
        </w:rPr>
        <w:t>Maslyhan</w:t>
      </w:r>
      <w:proofErr w:type="spellEnd"/>
      <w:r>
        <w:rPr>
          <w:rFonts w:ascii="Times New Roman" w:eastAsia="Times New Roman" w:hAnsi="Times New Roman" w:cs="Times New Roman"/>
          <w:color w:val="000000"/>
          <w:sz w:val="28"/>
          <w:szCs w:val="28"/>
        </w:rPr>
        <w:t xml:space="preserve">, O., Shevchuk, L. On the question of the role of project management in the digital transformation of small and medium-sized businesses: essence and innovative potential. // Amazonia </w:t>
      </w:r>
      <w:proofErr w:type="spellStart"/>
      <w:r>
        <w:rPr>
          <w:rFonts w:ascii="Times New Roman" w:eastAsia="Times New Roman" w:hAnsi="Times New Roman" w:cs="Times New Roman"/>
          <w:color w:val="000000"/>
          <w:sz w:val="28"/>
          <w:szCs w:val="28"/>
        </w:rPr>
        <w:t>Investiga</w:t>
      </w:r>
      <w:proofErr w:type="spellEnd"/>
      <w:r>
        <w:rPr>
          <w:rFonts w:ascii="Times New Roman" w:eastAsia="Times New Roman" w:hAnsi="Times New Roman" w:cs="Times New Roman"/>
          <w:color w:val="000000"/>
          <w:sz w:val="28"/>
          <w:szCs w:val="28"/>
        </w:rPr>
        <w:t xml:space="preserve"> Volume 11. 2022. No. 55. – P. 334-343. URL:</w:t>
      </w:r>
      <w:hyperlink r:id="rId13">
        <w:r>
          <w:rPr>
            <w:rFonts w:ascii="Times New Roman" w:eastAsia="Times New Roman" w:hAnsi="Times New Roman" w:cs="Times New Roman"/>
            <w:color w:val="000000"/>
            <w:sz w:val="28"/>
            <w:szCs w:val="28"/>
          </w:rPr>
          <w:t xml:space="preserve"> https://amazoniainvestiga.info/index.php/amazonia/article/view/2105</w:t>
        </w:r>
      </w:hyperlink>
    </w:p>
    <w:p w14:paraId="51065BD7" w14:textId="77777777" w:rsidR="003E10B7" w:rsidRDefault="00000000">
      <w:pPr>
        <w:numPr>
          <w:ilvl w:val="0"/>
          <w:numId w:val="6"/>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Vlasenko T. O., </w:t>
      </w:r>
      <w:proofErr w:type="spellStart"/>
      <w:r>
        <w:rPr>
          <w:rFonts w:ascii="Times New Roman" w:eastAsia="Times New Roman" w:hAnsi="Times New Roman" w:cs="Times New Roman"/>
          <w:color w:val="000000"/>
          <w:sz w:val="28"/>
          <w:szCs w:val="28"/>
        </w:rPr>
        <w:t>Chernysh</w:t>
      </w:r>
      <w:proofErr w:type="spellEnd"/>
      <w:r>
        <w:rPr>
          <w:rFonts w:ascii="Times New Roman" w:eastAsia="Times New Roman" w:hAnsi="Times New Roman" w:cs="Times New Roman"/>
          <w:color w:val="000000"/>
          <w:sz w:val="28"/>
          <w:szCs w:val="28"/>
        </w:rPr>
        <w:t xml:space="preserve">, R. F., </w:t>
      </w:r>
      <w:proofErr w:type="spellStart"/>
      <w:r>
        <w:rPr>
          <w:rFonts w:ascii="Times New Roman" w:eastAsia="Times New Roman" w:hAnsi="Times New Roman" w:cs="Times New Roman"/>
          <w:color w:val="000000"/>
          <w:sz w:val="28"/>
          <w:szCs w:val="28"/>
        </w:rPr>
        <w:t>Dergach</w:t>
      </w:r>
      <w:proofErr w:type="spellEnd"/>
      <w:r>
        <w:rPr>
          <w:rFonts w:ascii="Times New Roman" w:eastAsia="Times New Roman" w:hAnsi="Times New Roman" w:cs="Times New Roman"/>
          <w:color w:val="000000"/>
          <w:sz w:val="28"/>
          <w:szCs w:val="28"/>
        </w:rPr>
        <w:t xml:space="preserve">, A. V., </w:t>
      </w:r>
      <w:proofErr w:type="spellStart"/>
      <w:r>
        <w:rPr>
          <w:rFonts w:ascii="Times New Roman" w:eastAsia="Times New Roman" w:hAnsi="Times New Roman" w:cs="Times New Roman"/>
          <w:color w:val="000000"/>
          <w:sz w:val="28"/>
          <w:szCs w:val="28"/>
        </w:rPr>
        <w:t>Lobunets</w:t>
      </w:r>
      <w:proofErr w:type="spellEnd"/>
      <w:r>
        <w:rPr>
          <w:rFonts w:ascii="Times New Roman" w:eastAsia="Times New Roman" w:hAnsi="Times New Roman" w:cs="Times New Roman"/>
          <w:color w:val="000000"/>
          <w:sz w:val="28"/>
          <w:szCs w:val="28"/>
        </w:rPr>
        <w:t xml:space="preserve"> T. V., Kurylo, O. B. Investment security management in transition economies: Legal and organisational aspects. International Journal of Economics and Business Administration. No. 8(2). 2020. Pp. 200–209. </w:t>
      </w:r>
      <w:hyperlink r:id="rId14">
        <w:r>
          <w:rPr>
            <w:rFonts w:ascii="Times New Roman" w:eastAsia="Times New Roman" w:hAnsi="Times New Roman" w:cs="Times New Roman"/>
            <w:color w:val="000000"/>
            <w:sz w:val="28"/>
            <w:szCs w:val="28"/>
          </w:rPr>
          <w:t>URL:https://ijeba.com/journal/452</w:t>
        </w:r>
      </w:hyperlink>
    </w:p>
    <w:p w14:paraId="7BFE2F07" w14:textId="77777777" w:rsidR="003E10B7" w:rsidRDefault="00000000">
      <w:pPr>
        <w:numPr>
          <w:ilvl w:val="0"/>
          <w:numId w:val="6"/>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Gurochkina</w:t>
      </w:r>
      <w:proofErr w:type="spellEnd"/>
      <w:r>
        <w:rPr>
          <w:rFonts w:ascii="Times New Roman" w:eastAsia="Times New Roman" w:hAnsi="Times New Roman" w:cs="Times New Roman"/>
          <w:color w:val="000000"/>
          <w:sz w:val="28"/>
          <w:szCs w:val="28"/>
        </w:rPr>
        <w:t xml:space="preserve"> V. V. Investment policy of the enterprise: stakeholder matrix and drivers of interaction development. Bulletin of </w:t>
      </w:r>
      <w:proofErr w:type="spellStart"/>
      <w:r>
        <w:rPr>
          <w:rFonts w:ascii="Times New Roman" w:eastAsia="Times New Roman" w:hAnsi="Times New Roman" w:cs="Times New Roman"/>
          <w:color w:val="000000"/>
          <w:sz w:val="28"/>
          <w:szCs w:val="28"/>
        </w:rPr>
        <w:t>Khmelnytsky</w:t>
      </w:r>
      <w:proofErr w:type="spellEnd"/>
      <w:r>
        <w:rPr>
          <w:rFonts w:ascii="Times New Roman" w:eastAsia="Times New Roman" w:hAnsi="Times New Roman" w:cs="Times New Roman"/>
          <w:color w:val="000000"/>
          <w:sz w:val="28"/>
          <w:szCs w:val="28"/>
        </w:rPr>
        <w:t xml:space="preserve"> National University. Economic Sciences. 2019. No. 4, Volume 2. P. 89–97. </w:t>
      </w:r>
    </w:p>
    <w:p w14:paraId="615F1D45" w14:textId="77777777" w:rsidR="003E10B7" w:rsidRDefault="00000000">
      <w:pPr>
        <w:numPr>
          <w:ilvl w:val="0"/>
          <w:numId w:val="6"/>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Lazareva O. V. Investment policy of regions. Electronic resource. URL:</w:t>
      </w:r>
      <w:hyperlink r:id="rId15">
        <w:r>
          <w:rPr>
            <w:rFonts w:ascii="Times New Roman" w:eastAsia="Times New Roman" w:hAnsi="Times New Roman" w:cs="Times New Roman"/>
            <w:color w:val="000000"/>
            <w:sz w:val="28"/>
            <w:szCs w:val="28"/>
          </w:rPr>
          <w:t xml:space="preserve"> http://lib.chmnu.edu.ua/pdf/metodser/128/11.pdf</w:t>
        </w:r>
      </w:hyperlink>
    </w:p>
    <w:p w14:paraId="18F2D87B" w14:textId="77777777" w:rsidR="003E10B7" w:rsidRDefault="00000000">
      <w:pPr>
        <w:numPr>
          <w:ilvl w:val="0"/>
          <w:numId w:val="6"/>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Lobunets</w:t>
      </w:r>
      <w:proofErr w:type="spellEnd"/>
      <w:r>
        <w:rPr>
          <w:rFonts w:ascii="Times New Roman" w:eastAsia="Times New Roman" w:hAnsi="Times New Roman" w:cs="Times New Roman"/>
          <w:color w:val="000000"/>
          <w:sz w:val="28"/>
          <w:szCs w:val="28"/>
        </w:rPr>
        <w:t xml:space="preserve"> T. V., Gonchar G. P. Features of business investment in wartime. Scientific perspectives. No. 8. 2022. P. 155-164. URL:</w:t>
      </w:r>
      <w:hyperlink r:id="rId16">
        <w:r>
          <w:rPr>
            <w:rFonts w:ascii="Times New Roman" w:eastAsia="Times New Roman" w:hAnsi="Times New Roman" w:cs="Times New Roman"/>
            <w:color w:val="000000"/>
            <w:sz w:val="28"/>
            <w:szCs w:val="28"/>
          </w:rPr>
          <w:t xml:space="preserve"> http://perspectives.pp.ua/index.php/np/article/view/2371</w:t>
        </w:r>
      </w:hyperlink>
      <w:r>
        <w:rPr>
          <w:rFonts w:ascii="Times New Roman" w:eastAsia="Times New Roman" w:hAnsi="Times New Roman" w:cs="Times New Roman"/>
          <w:color w:val="000000"/>
          <w:sz w:val="28"/>
          <w:szCs w:val="28"/>
        </w:rPr>
        <w:t xml:space="preserve">  </w:t>
      </w:r>
    </w:p>
    <w:p w14:paraId="37679630" w14:textId="77777777" w:rsidR="003E10B7" w:rsidRDefault="00000000">
      <w:pPr>
        <w:numPr>
          <w:ilvl w:val="0"/>
          <w:numId w:val="6"/>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Investment efficiency assessment in Excel. Calculation of NPV, PP, DPP, IRR, ARR, PI. URL:</w:t>
      </w:r>
      <w:hyperlink r:id="rId17">
        <w:r>
          <w:rPr>
            <w:rFonts w:ascii="Times New Roman" w:eastAsia="Times New Roman" w:hAnsi="Times New Roman" w:cs="Times New Roman"/>
            <w:color w:val="000000"/>
            <w:sz w:val="28"/>
            <w:szCs w:val="28"/>
          </w:rPr>
          <w:t xml:space="preserve"> https://sgv.in.ua/off-lifaq/28-otsinka-efektivnosti-investitsij-v-excel-rozrakhunok-npv-pp-dpp-irrarr-pi</w:t>
        </w:r>
      </w:hyperlink>
    </w:p>
    <w:p w14:paraId="1BF98F6C" w14:textId="77777777" w:rsidR="003E10B7" w:rsidRDefault="003E10B7">
      <w:pPr>
        <w:pBdr>
          <w:top w:val="nil"/>
          <w:left w:val="nil"/>
          <w:bottom w:val="nil"/>
          <w:right w:val="nil"/>
          <w:between w:val="nil"/>
        </w:pBdr>
        <w:spacing w:after="0" w:line="240" w:lineRule="auto"/>
        <w:rPr>
          <w:rFonts w:ascii="Times New Roman" w:eastAsia="Times New Roman" w:hAnsi="Times New Roman" w:cs="Times New Roman"/>
          <w:b/>
          <w:bCs/>
          <w:i/>
          <w:iCs/>
          <w:color w:val="000000"/>
          <w:sz w:val="28"/>
          <w:szCs w:val="28"/>
        </w:rPr>
      </w:pPr>
    </w:p>
    <w:p w14:paraId="4FFFEFDC" w14:textId="77777777" w:rsidR="003E10B7" w:rsidRDefault="00000000">
      <w:pPr>
        <w:pBdr>
          <w:top w:val="nil"/>
          <w:left w:val="nil"/>
          <w:bottom w:val="nil"/>
          <w:right w:val="nil"/>
          <w:between w:val="nil"/>
        </w:pBdr>
        <w:spacing w:after="0" w:line="240" w:lineRule="auto"/>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Information resources:</w:t>
      </w:r>
    </w:p>
    <w:p w14:paraId="28A1ABA8" w14:textId="77777777" w:rsidR="003E10B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Verkhovna Rada of Ukraine. Website. URL: http://</w:t>
      </w:r>
      <w:hyperlink r:id="rId18">
        <w:r>
          <w:rPr>
            <w:rFonts w:ascii="Times New Roman" w:eastAsia="Times New Roman" w:hAnsi="Times New Roman" w:cs="Times New Roman"/>
            <w:color w:val="000000"/>
            <w:sz w:val="28"/>
            <w:szCs w:val="28"/>
          </w:rPr>
          <w:t xml:space="preserve"> www.portal.rada.gov.ua</w:t>
        </w:r>
      </w:hyperlink>
      <w:r>
        <w:rPr>
          <w:rFonts w:ascii="Times New Roman" w:eastAsia="Times New Roman" w:hAnsi="Times New Roman" w:cs="Times New Roman"/>
          <w:color w:val="000000"/>
          <w:sz w:val="28"/>
          <w:szCs w:val="28"/>
        </w:rPr>
        <w:t xml:space="preserve">  </w:t>
      </w:r>
    </w:p>
    <w:p w14:paraId="5D43129D" w14:textId="77777777" w:rsidR="003E10B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Legislation of Ukraine. Website. URL:</w:t>
      </w:r>
      <w:hyperlink r:id="rId19">
        <w:r>
          <w:rPr>
            <w:rFonts w:ascii="Times New Roman" w:eastAsia="Times New Roman" w:hAnsi="Times New Roman" w:cs="Times New Roman"/>
            <w:color w:val="000000"/>
            <w:sz w:val="28"/>
            <w:szCs w:val="28"/>
          </w:rPr>
          <w:t xml:space="preserve"> https://zakon.rada.gov.ua/</w:t>
        </w:r>
      </w:hyperlink>
    </w:p>
    <w:p w14:paraId="712DEEEB" w14:textId="77777777" w:rsidR="003E10B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Cabinet of Ministers of Ukraine. Website. URL: http://</w:t>
      </w:r>
      <w:hyperlink r:id="rId20">
        <w:r>
          <w:rPr>
            <w:rFonts w:ascii="Times New Roman" w:eastAsia="Times New Roman" w:hAnsi="Times New Roman" w:cs="Times New Roman"/>
            <w:color w:val="000000"/>
            <w:sz w:val="28"/>
            <w:szCs w:val="28"/>
          </w:rPr>
          <w:t xml:space="preserve"> www.kmu.gov.ua</w:t>
        </w:r>
      </w:hyperlink>
      <w:r>
        <w:rPr>
          <w:rFonts w:ascii="Times New Roman" w:eastAsia="Times New Roman" w:hAnsi="Times New Roman" w:cs="Times New Roman"/>
          <w:color w:val="000000"/>
          <w:sz w:val="28"/>
          <w:szCs w:val="28"/>
        </w:rPr>
        <w:t xml:space="preserve">  </w:t>
      </w:r>
    </w:p>
    <w:p w14:paraId="0A339E11" w14:textId="77777777" w:rsidR="003E10B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Ministry of Finance. Website. URL: http://</w:t>
      </w:r>
      <w:hyperlink r:id="rId21">
        <w:r>
          <w:rPr>
            <w:rFonts w:ascii="Times New Roman" w:eastAsia="Times New Roman" w:hAnsi="Times New Roman" w:cs="Times New Roman"/>
            <w:color w:val="000000"/>
            <w:sz w:val="28"/>
            <w:szCs w:val="28"/>
          </w:rPr>
          <w:t xml:space="preserve"> www.minfin.gov.ua</w:t>
        </w:r>
      </w:hyperlink>
    </w:p>
    <w:p w14:paraId="7943ACD7" w14:textId="77777777" w:rsidR="003E10B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Ministry of Economy of Ukraine. Website. URL:</w:t>
      </w:r>
      <w:hyperlink r:id="rId22">
        <w:r>
          <w:rPr>
            <w:rFonts w:ascii="Times New Roman" w:eastAsia="Times New Roman" w:hAnsi="Times New Roman" w:cs="Times New Roman"/>
            <w:color w:val="000000"/>
            <w:sz w:val="28"/>
            <w:szCs w:val="28"/>
          </w:rPr>
          <w:t xml:space="preserve"> https://www.me.gov.ua/?lang=uk-UA</w:t>
        </w:r>
      </w:hyperlink>
      <w:r>
        <w:rPr>
          <w:rFonts w:ascii="Times New Roman" w:eastAsia="Times New Roman" w:hAnsi="Times New Roman" w:cs="Times New Roman"/>
          <w:color w:val="000000"/>
          <w:sz w:val="28"/>
          <w:szCs w:val="28"/>
        </w:rPr>
        <w:t xml:space="preserve">  </w:t>
      </w:r>
    </w:p>
    <w:p w14:paraId="344ABCED" w14:textId="77777777" w:rsidR="003E10B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State Tax Service of Ukraine. Website. URL: http://</w:t>
      </w:r>
      <w:hyperlink r:id="rId23">
        <w:r>
          <w:rPr>
            <w:rFonts w:ascii="Times New Roman" w:eastAsia="Times New Roman" w:hAnsi="Times New Roman" w:cs="Times New Roman"/>
            <w:color w:val="000000"/>
            <w:sz w:val="28"/>
            <w:szCs w:val="28"/>
          </w:rPr>
          <w:t xml:space="preserve"> www.tax.gov.ua</w:t>
        </w:r>
      </w:hyperlink>
    </w:p>
    <w:p w14:paraId="323E9DA6" w14:textId="77777777" w:rsidR="003E10B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Institute for Strategic Studies. Website. URL: http://</w:t>
      </w:r>
      <w:hyperlink r:id="rId24">
        <w:r>
          <w:rPr>
            <w:rFonts w:ascii="Times New Roman" w:eastAsia="Times New Roman" w:hAnsi="Times New Roman" w:cs="Times New Roman"/>
            <w:color w:val="000000"/>
            <w:sz w:val="28"/>
            <w:szCs w:val="28"/>
          </w:rPr>
          <w:t xml:space="preserve"> www.niss.gov.ua</w:t>
        </w:r>
      </w:hyperlink>
      <w:r>
        <w:rPr>
          <w:rFonts w:ascii="Times New Roman" w:eastAsia="Times New Roman" w:hAnsi="Times New Roman" w:cs="Times New Roman"/>
          <w:color w:val="000000"/>
          <w:sz w:val="28"/>
          <w:szCs w:val="28"/>
        </w:rPr>
        <w:t xml:space="preserve">  </w:t>
      </w:r>
    </w:p>
    <w:p w14:paraId="2732C312" w14:textId="77777777" w:rsidR="003E10B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Centre for Prospective Social Studies. Website. URL: http://</w:t>
      </w:r>
      <w:hyperlink r:id="rId25">
        <w:r>
          <w:rPr>
            <w:rFonts w:ascii="Times New Roman" w:eastAsia="Times New Roman" w:hAnsi="Times New Roman" w:cs="Times New Roman"/>
            <w:color w:val="000000"/>
            <w:sz w:val="28"/>
            <w:szCs w:val="28"/>
          </w:rPr>
          <w:t xml:space="preserve"> www.cpsr.org.ua</w:t>
        </w:r>
      </w:hyperlink>
      <w:r>
        <w:rPr>
          <w:rFonts w:ascii="Times New Roman" w:eastAsia="Times New Roman" w:hAnsi="Times New Roman" w:cs="Times New Roman"/>
          <w:color w:val="000000"/>
          <w:sz w:val="28"/>
          <w:szCs w:val="28"/>
        </w:rPr>
        <w:t xml:space="preserve"> </w:t>
      </w:r>
    </w:p>
    <w:sectPr w:rsidR="003E10B7">
      <w:pgSz w:w="11906" w:h="16838"/>
      <w:pgMar w:top="1134" w:right="1134" w:bottom="1134"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986FCD65-5FF0-4985-AEA6-46923481DCAF}"/>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9BB41E64-158D-4A71-9B84-08A88E350BF7}"/>
    <w:embedBold r:id="rId3" w:fontKey="{DED7B332-3DD4-41FE-84DD-AF8B5E86DB24}"/>
  </w:font>
  <w:font w:name="Aptos">
    <w:charset w:val="00"/>
    <w:family w:val="swiss"/>
    <w:pitch w:val="variable"/>
    <w:sig w:usb0="20000287" w:usb1="00000003" w:usb2="00000000" w:usb3="00000000" w:csb0="0000019F" w:csb1="00000000"/>
    <w:embedItalic r:id="rId4" w:fontKey="{58DAD102-6B9A-450E-AEB4-705F9C3952E8}"/>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embedRegular r:id="rId5" w:fontKey="{9C233FEF-466D-4FB5-B005-5DE27D4C1148}"/>
  </w:font>
  <w:font w:name="Calibri Light">
    <w:panose1 w:val="020F0302020204030204"/>
    <w:charset w:val="CC"/>
    <w:family w:val="swiss"/>
    <w:pitch w:val="variable"/>
    <w:sig w:usb0="E4002EFF" w:usb1="C200247B" w:usb2="00000009" w:usb3="00000000" w:csb0="000001FF" w:csb1="00000000"/>
    <w:embedRegular r:id="rId6" w:fontKey="{8D8A2FDD-7A70-40E2-8C79-7DCD381C71DF}"/>
  </w:font>
  <w:font w:name="Georgia">
    <w:panose1 w:val="02040502050405020303"/>
    <w:charset w:val="CC"/>
    <w:family w:val="roman"/>
    <w:pitch w:val="variable"/>
    <w:sig w:usb0="00000287" w:usb1="00000000" w:usb2="00000000" w:usb3="00000000" w:csb0="0000009F" w:csb1="00000000"/>
    <w:embedItalic r:id="rId7" w:fontKey="{E9C2409A-127D-4232-8815-C4C7468D896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729AC"/>
    <w:multiLevelType w:val="multilevel"/>
    <w:tmpl w:val="D932F8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19B545B"/>
    <w:multiLevelType w:val="multilevel"/>
    <w:tmpl w:val="C44C30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E690F7F"/>
    <w:multiLevelType w:val="multilevel"/>
    <w:tmpl w:val="5726C6B6"/>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66E8131B"/>
    <w:multiLevelType w:val="multilevel"/>
    <w:tmpl w:val="5E4868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C714E94"/>
    <w:multiLevelType w:val="multilevel"/>
    <w:tmpl w:val="8F8C5A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D2C55AC"/>
    <w:multiLevelType w:val="multilevel"/>
    <w:tmpl w:val="CE9E2E56"/>
    <w:lvl w:ilvl="0">
      <w:start w:val="1"/>
      <w:numFmt w:val="decimal"/>
      <w:lvlText w:val="%1."/>
      <w:lvlJc w:val="left"/>
      <w:pPr>
        <w:ind w:left="795" w:hanging="435"/>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34691959">
    <w:abstractNumId w:val="2"/>
  </w:num>
  <w:num w:numId="2" w16cid:durableId="1926498602">
    <w:abstractNumId w:val="1"/>
  </w:num>
  <w:num w:numId="3" w16cid:durableId="881283088">
    <w:abstractNumId w:val="3"/>
  </w:num>
  <w:num w:numId="4" w16cid:durableId="1147668792">
    <w:abstractNumId w:val="4"/>
  </w:num>
  <w:num w:numId="5" w16cid:durableId="1316686634">
    <w:abstractNumId w:val="5"/>
  </w:num>
  <w:num w:numId="6" w16cid:durableId="1435592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10B7"/>
    <w:rsid w:val="00060D5F"/>
    <w:rsid w:val="003E10B7"/>
    <w:rsid w:val="00D35D24"/>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0D0C0"/>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ru-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unhideWhenUsed/>
    <w:qFormat/>
    <w:pPr>
      <w:keepNext/>
      <w:keepLines/>
      <w:spacing w:before="40" w:after="0"/>
      <w:outlineLvl w:val="1"/>
    </w:pPr>
    <w:rPr>
      <w:color w:val="2E75B5"/>
      <w:sz w:val="26"/>
      <w:szCs w:val="2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80" w:after="40" w:line="278" w:lineRule="auto"/>
      <w:outlineLvl w:val="3"/>
    </w:pPr>
    <w:rPr>
      <w:rFonts w:ascii="Aptos" w:eastAsia="Aptos" w:hAnsi="Aptos" w:cs="Aptos"/>
      <w:i/>
      <w:iCs/>
      <w:color w:val="2E75B5"/>
      <w:sz w:val="24"/>
      <w:szCs w:val="24"/>
    </w:rPr>
  </w:style>
  <w:style w:type="paragraph" w:styleId="5">
    <w:name w:val="heading 5"/>
    <w:basedOn w:val="a"/>
    <w:next w:val="a"/>
    <w:uiPriority w:val="9"/>
    <w:semiHidden/>
    <w:unhideWhenUsed/>
    <w:qFormat/>
    <w:pPr>
      <w:keepNext/>
      <w:keepLines/>
      <w:spacing w:before="220" w:after="40"/>
      <w:outlineLvl w:val="4"/>
    </w:pPr>
    <w:rPr>
      <w:b/>
      <w:bCs/>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Hyperlink"/>
    <w:basedOn w:val="a0"/>
    <w:uiPriority w:val="99"/>
    <w:unhideWhenUsed/>
    <w:qFormat/>
    <w:rPr>
      <w:color w:val="0563C1" w:themeColor="hyperlink"/>
      <w:u w:val="single"/>
    </w:rPr>
  </w:style>
  <w:style w:type="paragraph" w:styleId="a5">
    <w:name w:val="Balloon Text"/>
    <w:link w:val="a6"/>
    <w:uiPriority w:val="99"/>
    <w:semiHidden/>
    <w:unhideWhenUsed/>
    <w:qFormat/>
    <w:pPr>
      <w:spacing w:after="0" w:line="240" w:lineRule="auto"/>
    </w:pPr>
    <w:rPr>
      <w:rFonts w:ascii="Tahoma" w:hAnsi="Tahoma" w:cs="Tahoma"/>
      <w:sz w:val="16"/>
      <w:szCs w:val="16"/>
    </w:rPr>
  </w:style>
  <w:style w:type="table" w:styleId="a7">
    <w:name w:val="Table Grid"/>
    <w:basedOn w:val="a1"/>
    <w:uiPriority w:val="39"/>
    <w:qFormat/>
    <w:rPr>
      <w:kern w:val="2"/>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Подпись к картинке_"/>
    <w:basedOn w:val="a0"/>
    <w:link w:val="a9"/>
    <w:qFormat/>
    <w:rPr>
      <w:rFonts w:ascii="Times New Roman" w:eastAsia="Times New Roman" w:hAnsi="Times New Roman" w:cs="Times New Roman"/>
      <w:shd w:val="clear" w:color="auto" w:fill="FFFFFF"/>
    </w:rPr>
  </w:style>
  <w:style w:type="paragraph" w:customStyle="1" w:styleId="a9">
    <w:name w:val="Подпись к картинке"/>
    <w:link w:val="a8"/>
    <w:qFormat/>
    <w:pPr>
      <w:widowControl w:val="0"/>
      <w:shd w:val="clear" w:color="auto" w:fill="FFFFFF"/>
      <w:spacing w:after="0" w:line="235" w:lineRule="auto"/>
      <w:ind w:firstLine="80"/>
    </w:pPr>
    <w:rPr>
      <w:rFonts w:ascii="Times New Roman" w:eastAsia="Times New Roman" w:hAnsi="Times New Roman" w:cs="Times New Roman"/>
    </w:rPr>
  </w:style>
  <w:style w:type="paragraph" w:styleId="aa">
    <w:name w:val="List Paragraph"/>
    <w:uiPriority w:val="34"/>
    <w:qFormat/>
    <w:pPr>
      <w:ind w:left="720"/>
      <w:contextualSpacing/>
    </w:pPr>
  </w:style>
  <w:style w:type="paragraph" w:customStyle="1" w:styleId="Standard">
    <w:name w:val="Standard"/>
    <w:qFormat/>
    <w:pPr>
      <w:suppressAutoHyphens/>
      <w:autoSpaceDN w:val="0"/>
    </w:pPr>
    <w:rPr>
      <w:rFonts w:ascii="Times New Roman" w:eastAsia="Times New Roman" w:hAnsi="Times New Roman" w:cs="Times New Roman"/>
      <w:kern w:val="2"/>
      <w:sz w:val="24"/>
      <w:szCs w:val="24"/>
      <w:lang w:val="en-US" w:eastAsia="zh-CN"/>
    </w:rPr>
  </w:style>
  <w:style w:type="character" w:customStyle="1" w:styleId="10">
    <w:name w:val="Неразрешенное упоминание1"/>
    <w:basedOn w:val="a0"/>
    <w:uiPriority w:val="99"/>
    <w:semiHidden/>
    <w:unhideWhenUsed/>
    <w:qFormat/>
    <w:rPr>
      <w:color w:val="605E5C"/>
      <w:shd w:val="clear" w:color="auto" w:fill="E1DFDD"/>
    </w:rPr>
  </w:style>
  <w:style w:type="character" w:customStyle="1" w:styleId="ab">
    <w:name w:val="Подпись к таблице_"/>
    <w:basedOn w:val="a0"/>
    <w:link w:val="ac"/>
    <w:qFormat/>
    <w:rPr>
      <w:rFonts w:ascii="Times New Roman" w:eastAsia="Times New Roman" w:hAnsi="Times New Roman" w:cs="Times New Roman"/>
      <w:b/>
      <w:bCs/>
      <w:shd w:val="clear" w:color="auto" w:fill="FFFFFF"/>
    </w:rPr>
  </w:style>
  <w:style w:type="paragraph" w:customStyle="1" w:styleId="ac">
    <w:name w:val="Подпись к таблице"/>
    <w:link w:val="ab"/>
    <w:qFormat/>
    <w:pPr>
      <w:widowControl w:val="0"/>
      <w:shd w:val="clear" w:color="auto" w:fill="FFFFFF"/>
      <w:spacing w:after="0" w:line="240" w:lineRule="auto"/>
    </w:pPr>
    <w:rPr>
      <w:rFonts w:ascii="Times New Roman" w:eastAsia="Times New Roman" w:hAnsi="Times New Roman" w:cs="Times New Roman"/>
      <w:b/>
      <w:bCs/>
    </w:rPr>
  </w:style>
  <w:style w:type="character" w:customStyle="1" w:styleId="a6">
    <w:name w:val="Текст выноски Знак"/>
    <w:basedOn w:val="a0"/>
    <w:link w:val="a5"/>
    <w:uiPriority w:val="99"/>
    <w:semiHidden/>
    <w:rPr>
      <w:rFonts w:ascii="Tahoma" w:hAnsi="Tahoma" w:cs="Tahoma"/>
      <w:sz w:val="16"/>
      <w:szCs w:val="16"/>
    </w:rPr>
  </w:style>
  <w:style w:type="character" w:customStyle="1" w:styleId="40">
    <w:name w:val="Заголовок 4 Знак"/>
    <w:basedOn w:val="a0"/>
    <w:uiPriority w:val="9"/>
    <w:semiHidden/>
    <w:qFormat/>
    <w:rPr>
      <w:rFonts w:ascii="Aptos" w:eastAsiaTheme="majorEastAsia" w:hAnsi="Aptos" w:cstheme="majorBidi"/>
      <w:i/>
      <w:iCs/>
      <w:color w:val="2E74B5" w:themeColor="accent1" w:themeShade="BF"/>
      <w:kern w:val="2"/>
      <w:sz w:val="24"/>
      <w:szCs w:val="24"/>
    </w:rPr>
  </w:style>
  <w:style w:type="paragraph" w:customStyle="1" w:styleId="ad">
    <w:name w:val="Вміст таблиці"/>
    <w:qFormat/>
    <w:pPr>
      <w:widowControl w:val="0"/>
      <w:suppressLineNumbers/>
    </w:pPr>
  </w:style>
  <w:style w:type="character" w:customStyle="1" w:styleId="20">
    <w:name w:val="Заголовок 2 Знак"/>
    <w:basedOn w:val="a0"/>
    <w:uiPriority w:val="9"/>
    <w:semiHidden/>
    <w:rsid w:val="00516403"/>
    <w:rPr>
      <w:rFonts w:asciiTheme="majorHAnsi" w:eastAsiaTheme="majorEastAsia" w:hAnsiTheme="majorHAnsi" w:cstheme="majorBidi"/>
      <w:color w:val="2E74B5" w:themeColor="accent1" w:themeShade="BF"/>
      <w:sz w:val="26"/>
      <w:szCs w:val="26"/>
      <w:lang w:val="uk-UA" w:eastAsia="en-US"/>
    </w:rPr>
  </w:style>
  <w:style w:type="paragraph" w:styleId="ae">
    <w:name w:val="No Spacing"/>
    <w:uiPriority w:val="1"/>
    <w:qFormat/>
    <w:rsid w:val="00516403"/>
    <w:rPr>
      <w:kern w:val="2"/>
      <w:sz w:val="24"/>
      <w:szCs w:val="24"/>
      <w:lang w:val="en-US" w:eastAsia="en-US"/>
    </w:rPr>
  </w:style>
  <w:style w:type="character" w:customStyle="1" w:styleId="ng-star-inserted">
    <w:name w:val="ng-star-inserted"/>
    <w:basedOn w:val="a0"/>
    <w:rsid w:val="003C4903"/>
  </w:style>
  <w:style w:type="paragraph" w:styleId="af">
    <w:name w:val="Normal (Web)"/>
    <w:uiPriority w:val="99"/>
    <w:qFormat/>
    <w:rsid w:val="009E5A9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0">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1">
    <w:basedOn w:val="TableNormal"/>
    <w:tblPr>
      <w:tblStyleRowBandSize w:val="1"/>
      <w:tblStyleColBandSize w:val="1"/>
      <w:tblCellMar>
        <w:top w:w="0" w:type="dxa"/>
        <w:left w:w="115" w:type="dxa"/>
        <w:bottom w:w="0" w:type="dxa"/>
        <w:right w:w="115" w:type="dxa"/>
      </w:tblCellMar>
    </w:tblPr>
  </w:style>
  <w:style w:type="table" w:customStyle="1" w:styleId="af2">
    <w:basedOn w:val="TableNormal"/>
    <w:tblPr>
      <w:tblStyleRowBandSize w:val="1"/>
      <w:tblStyleColBandSize w:val="1"/>
      <w:tblCellMar>
        <w:top w:w="0" w:type="dxa"/>
        <w:left w:w="115" w:type="dxa"/>
        <w:bottom w:w="0" w:type="dxa"/>
        <w:right w:w="115" w:type="dxa"/>
      </w:tblCellMar>
    </w:tblPr>
  </w:style>
  <w:style w:type="table" w:customStyle="1" w:styleId="af3">
    <w:basedOn w:val="TableNormal"/>
    <w:tblPr>
      <w:tblStyleRowBandSize w:val="1"/>
      <w:tblStyleColBandSize w:val="1"/>
      <w:tblCellMar>
        <w:top w:w="15" w:type="dxa"/>
        <w:left w:w="15" w:type="dxa"/>
        <w:bottom w:w="15" w:type="dxa"/>
        <w:right w:w="15" w:type="dxa"/>
      </w:tblCellMar>
    </w:tblPr>
  </w:style>
  <w:style w:type="table" w:customStyle="1" w:styleId="af4">
    <w:basedOn w:val="TableNormal"/>
    <w:tblPr>
      <w:tblStyleRowBandSize w:val="1"/>
      <w:tblStyleColBandSize w:val="1"/>
      <w:tblCellMar>
        <w:top w:w="0" w:type="dxa"/>
        <w:left w:w="115" w:type="dxa"/>
        <w:bottom w:w="0" w:type="dxa"/>
        <w:right w:w="115" w:type="dxa"/>
      </w:tblCellMar>
    </w:tbl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55" w:type="dxa"/>
        <w:left w:w="55" w:type="dxa"/>
        <w:bottom w:w="55" w:type="dxa"/>
        <w:right w:w="55" w:type="dxa"/>
      </w:tblCellMar>
    </w:tblPr>
  </w:style>
  <w:style w:type="table" w:customStyle="1" w:styleId="af7">
    <w:basedOn w:val="TableNormal"/>
    <w:tblPr>
      <w:tblStyleRowBandSize w:val="1"/>
      <w:tblStyleColBandSize w:val="1"/>
      <w:tblCellMar>
        <w:top w:w="0" w:type="dxa"/>
        <w:left w:w="0" w:type="dxa"/>
        <w:bottom w:w="0" w:type="dxa"/>
        <w:right w:w="0" w:type="dxa"/>
      </w:tblCellMar>
    </w:tblPr>
  </w:style>
  <w:style w:type="table" w:customStyle="1" w:styleId="af8">
    <w:basedOn w:val="TableNormal"/>
    <w:tblPr>
      <w:tblStyleRowBandSize w:val="1"/>
      <w:tblStyleColBandSize w:val="1"/>
      <w:tblCellMar>
        <w:top w:w="0" w:type="dxa"/>
        <w:left w:w="115" w:type="dxa"/>
        <w:bottom w:w="0" w:type="dxa"/>
        <w:right w:w="115" w:type="dxa"/>
      </w:tblCellMar>
    </w:tblPr>
  </w:style>
  <w:style w:type="table" w:customStyle="1" w:styleId="af9">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hern.maup.com.ua/wp-content/uploads/2024/02/2024_bezzubko-l.v.-portfolio_-1.pdf" TargetMode="External"/><Relationship Id="rId13" Type="http://schemas.openxmlformats.org/officeDocument/2006/relationships/hyperlink" Target="https://amazoniainvestiga.info/index.php/amazonia/article/view/2105" TargetMode="External"/><Relationship Id="rId18" Type="http://schemas.openxmlformats.org/officeDocument/2006/relationships/hyperlink" Target="http://www.portal.rada.gov.ua"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minfin.gov.ua" TargetMode="External"/><Relationship Id="rId7" Type="http://schemas.openxmlformats.org/officeDocument/2006/relationships/hyperlink" Target="https://scholar.google.com.ua/citations?%20user=dZA35PQAAAAJ&amp;hl=ru" TargetMode="External"/><Relationship Id="rId12" Type="http://schemas.openxmlformats.org/officeDocument/2006/relationships/hyperlink" Target="https://economyandsociety.in.ua/index.php/journal/article/view/5421/5365" TargetMode="External"/><Relationship Id="rId17" Type="http://schemas.openxmlformats.org/officeDocument/2006/relationships/hyperlink" Target="https://sgv.in.ua/off-lifaq/28-otsinka-efektivnosti-investitsij-v-excel-rozrakhunok-npv-pp-dpp-irrarr-pi" TargetMode="External"/><Relationship Id="rId25" Type="http://schemas.openxmlformats.org/officeDocument/2006/relationships/hyperlink" Target="http://www.cpsr.org.ua" TargetMode="External"/><Relationship Id="rId2" Type="http://schemas.openxmlformats.org/officeDocument/2006/relationships/numbering" Target="numbering.xml"/><Relationship Id="rId16" Type="http://schemas.openxmlformats.org/officeDocument/2006/relationships/hyperlink" Target="http://perspectives.pp.ua/index.php/np/article/view/2371" TargetMode="External"/><Relationship Id="rId20" Type="http://schemas.openxmlformats.org/officeDocument/2006/relationships/hyperlink" Target="http://www.kmu.gov.ua"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nayka.com.ua/index.php/dy/article/view/7507/7633" TargetMode="External"/><Relationship Id="rId24" Type="http://schemas.openxmlformats.org/officeDocument/2006/relationships/hyperlink" Target="http://www.niss.gov.ua" TargetMode="External"/><Relationship Id="rId5" Type="http://schemas.openxmlformats.org/officeDocument/2006/relationships/webSettings" Target="webSettings.xml"/><Relationship Id="rId15" Type="http://schemas.openxmlformats.org/officeDocument/2006/relationships/hyperlink" Target="http://lib.chmnu.edu.ua/pdf/metodser/128/11.pdf" TargetMode="External"/><Relationship Id="rId23" Type="http://schemas.openxmlformats.org/officeDocument/2006/relationships/hyperlink" Target="http://www.tax.gov.ua" TargetMode="External"/><Relationship Id="rId10" Type="http://schemas.openxmlformats.org/officeDocument/2006/relationships/hyperlink" Target="https://zakon.rada.gov.ua/laws/show/40-15" TargetMode="External"/><Relationship Id="rId19" Type="http://schemas.openxmlformats.org/officeDocument/2006/relationships/hyperlink" Target="https://zakon.rada.gov.ua/" TargetMode="External"/><Relationship Id="rId4" Type="http://schemas.openxmlformats.org/officeDocument/2006/relationships/settings" Target="settings.xml"/><Relationship Id="rId9" Type="http://schemas.openxmlformats.org/officeDocument/2006/relationships/hyperlink" Target="http://zakon2.rada.gov.ua/laws/main/1560-12" TargetMode="External"/><Relationship Id="rId14" Type="http://schemas.openxmlformats.org/officeDocument/2006/relationships/hyperlink" Target="about:blank" TargetMode="External"/><Relationship Id="rId22" Type="http://schemas.openxmlformats.org/officeDocument/2006/relationships/hyperlink" Target="https://www.me.gov.ua/?lang=uk-UA" TargetMode="Externa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BKSmcRYGkyD+apkuV2o5/8rZQ==">CgMxLjAyDmguNjc0aDB2M2h5enA4OAByITEwWHNQTUpETG15SUFfd3haYW9oR0hObU0yODhaV0djNA==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4041</Words>
  <Characters>23040</Characters>
  <Application>Microsoft Office Word</Application>
  <DocSecurity>0</DocSecurity>
  <Lines>192</Lines>
  <Paragraphs>54</Paragraphs>
  <ScaleCrop>false</ScaleCrop>
  <Company/>
  <LinksUpToDate>false</LinksUpToDate>
  <CharactersWithSpaces>27027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Kateryna Polozhentseva</cp:lastModifiedBy>
  <cp:revision>2</cp:revision>
  <dcterms:created xsi:type="dcterms:W3CDTF">2025-08-21T17:12:00Z</dcterms:created>
  <dcterms:modified xsi:type="dcterms:W3CDTF">2026-02-17T23:13:00Z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E39A4CF1A4A9437DB4BCEC728E497705_12</vt:lpwstr>
  </property>
</Properties>
</file>